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4FF84" w14:textId="30B0BD4B" w:rsidR="00AD1951" w:rsidRPr="00D71342" w:rsidRDefault="00635370" w:rsidP="00F82428">
      <w:pPr>
        <w:pStyle w:val="Ttulo"/>
        <w:ind w:right="670"/>
      </w:pPr>
      <w:r w:rsidRPr="00D71342">
        <w:t>Estado</w:t>
      </w:r>
      <w:r w:rsidRPr="00D71342">
        <w:rPr>
          <w:spacing w:val="-3"/>
        </w:rPr>
        <w:t xml:space="preserve"> </w:t>
      </w:r>
      <w:r w:rsidRPr="00D71342">
        <w:t>del</w:t>
      </w:r>
      <w:r w:rsidRPr="00D71342">
        <w:rPr>
          <w:spacing w:val="-3"/>
        </w:rPr>
        <w:t xml:space="preserve"> </w:t>
      </w:r>
      <w:r w:rsidRPr="00D71342">
        <w:t>arte</w:t>
      </w:r>
      <w:r w:rsidRPr="00D71342">
        <w:rPr>
          <w:spacing w:val="-4"/>
        </w:rPr>
        <w:t xml:space="preserve"> </w:t>
      </w:r>
      <w:r w:rsidR="003A6A51" w:rsidRPr="00D71342">
        <w:t xml:space="preserve">del </w:t>
      </w:r>
      <w:r w:rsidR="00D52EF0" w:rsidRPr="00D71342">
        <w:t>emprendimiento</w:t>
      </w:r>
      <w:r w:rsidR="003A6A51" w:rsidRPr="00D71342">
        <w:t xml:space="preserve"> verde: </w:t>
      </w:r>
      <w:r w:rsidR="00D52EF0" w:rsidRPr="00D71342">
        <w:t>Aproximación</w:t>
      </w:r>
      <w:r w:rsidR="003A6A51" w:rsidRPr="00D71342">
        <w:t xml:space="preserve"> a sus fundamentos teóricos y </w:t>
      </w:r>
      <w:r w:rsidR="00D52EF0" w:rsidRPr="00D71342">
        <w:t>características</w:t>
      </w:r>
    </w:p>
    <w:p w14:paraId="499B2F10" w14:textId="77777777" w:rsidR="00AD1951" w:rsidRPr="00D71342" w:rsidRDefault="00635370" w:rsidP="00F82428">
      <w:pPr>
        <w:spacing w:before="61"/>
        <w:ind w:left="363" w:right="670"/>
        <w:jc w:val="center"/>
        <w:rPr>
          <w:rFonts w:ascii="Arial MT" w:hAnsi="Arial MT"/>
          <w:sz w:val="28"/>
        </w:rPr>
      </w:pPr>
      <w:r w:rsidRPr="00D71342">
        <w:rPr>
          <w:rFonts w:ascii="Arial MT" w:hAnsi="Arial MT"/>
          <w:sz w:val="28"/>
        </w:rPr>
        <w:t>Categoría</w:t>
      </w:r>
      <w:r w:rsidRPr="00D71342">
        <w:rPr>
          <w:rFonts w:ascii="Arial MT" w:hAnsi="Arial MT"/>
          <w:spacing w:val="-10"/>
          <w:sz w:val="28"/>
        </w:rPr>
        <w:t xml:space="preserve"> </w:t>
      </w:r>
      <w:r w:rsidRPr="00D71342">
        <w:rPr>
          <w:rFonts w:ascii="Arial MT" w:hAnsi="Arial MT"/>
          <w:sz w:val="28"/>
        </w:rPr>
        <w:t>de</w:t>
      </w:r>
      <w:r w:rsidRPr="00D71342">
        <w:rPr>
          <w:rFonts w:ascii="Arial MT" w:hAnsi="Arial MT"/>
          <w:spacing w:val="-10"/>
          <w:sz w:val="28"/>
        </w:rPr>
        <w:t xml:space="preserve"> </w:t>
      </w:r>
      <w:r w:rsidRPr="00D71342">
        <w:rPr>
          <w:rFonts w:ascii="Arial MT" w:hAnsi="Arial MT"/>
          <w:sz w:val="28"/>
        </w:rPr>
        <w:t>Participación:</w:t>
      </w:r>
      <w:r w:rsidRPr="00D71342">
        <w:rPr>
          <w:rFonts w:ascii="Arial MT" w:hAnsi="Arial MT"/>
          <w:spacing w:val="-8"/>
          <w:sz w:val="28"/>
        </w:rPr>
        <w:t xml:space="preserve"> </w:t>
      </w:r>
      <w:r w:rsidRPr="00D71342">
        <w:rPr>
          <w:rFonts w:ascii="Arial MT" w:hAnsi="Arial MT"/>
          <w:sz w:val="28"/>
        </w:rPr>
        <w:t>Investigación</w:t>
      </w:r>
      <w:r w:rsidRPr="00D71342">
        <w:rPr>
          <w:rFonts w:ascii="Arial MT" w:hAnsi="Arial MT"/>
          <w:spacing w:val="-9"/>
          <w:sz w:val="28"/>
        </w:rPr>
        <w:t xml:space="preserve"> </w:t>
      </w:r>
      <w:r w:rsidRPr="00D71342">
        <w:rPr>
          <w:rFonts w:ascii="Arial MT" w:hAnsi="Arial MT"/>
          <w:spacing w:val="-2"/>
          <w:sz w:val="28"/>
        </w:rPr>
        <w:t>Terminada</w:t>
      </w:r>
    </w:p>
    <w:p w14:paraId="616956EC" w14:textId="77777777" w:rsidR="00AD1951" w:rsidRPr="00D71342" w:rsidRDefault="00AD1951">
      <w:pPr>
        <w:pStyle w:val="Textoindependiente"/>
        <w:spacing w:before="211"/>
        <w:rPr>
          <w:rFonts w:ascii="Arial MT"/>
          <w:sz w:val="20"/>
        </w:rPr>
      </w:pPr>
    </w:p>
    <w:p w14:paraId="21387AF8" w14:textId="77777777" w:rsidR="00AD1951" w:rsidRPr="00D71342" w:rsidRDefault="00AD1951">
      <w:pPr>
        <w:pStyle w:val="Textoindependiente"/>
        <w:rPr>
          <w:rFonts w:ascii="Arial MT"/>
          <w:sz w:val="20"/>
        </w:rPr>
        <w:sectPr w:rsidR="00AD1951" w:rsidRPr="00D71342">
          <w:footerReference w:type="default" r:id="rId8"/>
          <w:type w:val="continuous"/>
          <w:pgSz w:w="12240" w:h="15840"/>
          <w:pgMar w:top="1000" w:right="360" w:bottom="1200" w:left="720" w:header="0" w:footer="1000" w:gutter="0"/>
          <w:pgNumType w:start="1"/>
          <w:cols w:space="720"/>
        </w:sectPr>
      </w:pPr>
    </w:p>
    <w:p w14:paraId="0ED250C4" w14:textId="1B9BA0FF" w:rsidR="00AD1951" w:rsidRPr="00D71342" w:rsidRDefault="003A6A51" w:rsidP="004D0644">
      <w:pPr>
        <w:spacing w:before="93" w:line="259" w:lineRule="auto"/>
        <w:ind w:left="357" w:right="39"/>
        <w:rPr>
          <w:rFonts w:ascii="Arial" w:hAnsi="Arial"/>
          <w:b/>
          <w:sz w:val="24"/>
        </w:rPr>
      </w:pPr>
      <w:r w:rsidRPr="00D71342">
        <w:rPr>
          <w:rFonts w:ascii="Arial" w:hAnsi="Arial"/>
          <w:b/>
          <w:sz w:val="24"/>
        </w:rPr>
        <w:t>Lesly Nathalia Almeida Piña</w:t>
      </w:r>
      <w:r w:rsidR="004D0644" w:rsidRPr="00D71342">
        <w:rPr>
          <w:rFonts w:ascii="Arial" w:hAnsi="Arial"/>
          <w:b/>
          <w:sz w:val="24"/>
        </w:rPr>
        <w:t xml:space="preserve">              </w:t>
      </w:r>
      <w:r w:rsidRPr="00D71342">
        <w:rPr>
          <w:rFonts w:ascii="Arial" w:hAnsi="Arial"/>
          <w:b/>
          <w:sz w:val="20"/>
        </w:rPr>
        <w:t>Escuela</w:t>
      </w:r>
      <w:r w:rsidRPr="00D71342">
        <w:rPr>
          <w:rFonts w:ascii="Arial" w:hAnsi="Arial"/>
          <w:b/>
          <w:spacing w:val="-10"/>
          <w:sz w:val="20"/>
        </w:rPr>
        <w:t xml:space="preserve"> </w:t>
      </w:r>
      <w:r w:rsidRPr="00D71342">
        <w:rPr>
          <w:rFonts w:ascii="Arial" w:hAnsi="Arial"/>
          <w:b/>
          <w:sz w:val="20"/>
        </w:rPr>
        <w:t>de</w:t>
      </w:r>
      <w:r w:rsidRPr="00D71342">
        <w:rPr>
          <w:rFonts w:ascii="Arial" w:hAnsi="Arial"/>
          <w:b/>
          <w:spacing w:val="-7"/>
          <w:sz w:val="20"/>
        </w:rPr>
        <w:t xml:space="preserve"> </w:t>
      </w:r>
      <w:r w:rsidRPr="00D71342">
        <w:rPr>
          <w:rFonts w:ascii="Arial" w:hAnsi="Arial"/>
          <w:b/>
          <w:sz w:val="20"/>
        </w:rPr>
        <w:t>Estudios</w:t>
      </w:r>
      <w:r w:rsidRPr="00D71342">
        <w:rPr>
          <w:rFonts w:ascii="Arial" w:hAnsi="Arial"/>
          <w:b/>
          <w:spacing w:val="-9"/>
          <w:sz w:val="20"/>
        </w:rPr>
        <w:t xml:space="preserve"> </w:t>
      </w:r>
      <w:r w:rsidRPr="00D71342">
        <w:rPr>
          <w:rFonts w:ascii="Arial" w:hAnsi="Arial"/>
          <w:b/>
          <w:sz w:val="20"/>
        </w:rPr>
        <w:t>Industriales</w:t>
      </w:r>
      <w:r w:rsidRPr="00D71342">
        <w:rPr>
          <w:rFonts w:ascii="Arial" w:hAnsi="Arial"/>
          <w:b/>
          <w:spacing w:val="-10"/>
          <w:sz w:val="20"/>
        </w:rPr>
        <w:t xml:space="preserve"> </w:t>
      </w:r>
      <w:r w:rsidRPr="00D71342">
        <w:rPr>
          <w:rFonts w:ascii="Arial" w:hAnsi="Arial"/>
          <w:b/>
          <w:sz w:val="20"/>
        </w:rPr>
        <w:t>y</w:t>
      </w:r>
      <w:r w:rsidRPr="00D71342">
        <w:rPr>
          <w:rFonts w:ascii="Arial" w:hAnsi="Arial"/>
          <w:b/>
          <w:spacing w:val="-8"/>
          <w:sz w:val="20"/>
        </w:rPr>
        <w:t xml:space="preserve"> </w:t>
      </w:r>
      <w:r w:rsidRPr="00D71342">
        <w:rPr>
          <w:rFonts w:ascii="Arial" w:hAnsi="Arial"/>
          <w:b/>
          <w:sz w:val="20"/>
        </w:rPr>
        <w:t xml:space="preserve">Empresariales </w:t>
      </w:r>
      <w:hyperlink r:id="rId9" w:history="1">
        <w:r w:rsidRPr="00D71342">
          <w:rPr>
            <w:rStyle w:val="Hipervnculo"/>
            <w:rFonts w:ascii="Arial" w:hAnsi="Arial"/>
            <w:b/>
            <w:color w:val="auto"/>
            <w:spacing w:val="-2"/>
            <w:sz w:val="20"/>
          </w:rPr>
          <w:t>lesly2183101@correo.uis.edu.co</w:t>
        </w:r>
      </w:hyperlink>
    </w:p>
    <w:p w14:paraId="51C1EE12" w14:textId="2CA280C7" w:rsidR="00AD1951" w:rsidRPr="00D71342" w:rsidRDefault="00635370" w:rsidP="00D52EF0">
      <w:pPr>
        <w:spacing w:before="93" w:line="259" w:lineRule="auto"/>
        <w:ind w:left="357" w:right="717"/>
        <w:rPr>
          <w:rFonts w:ascii="Arial" w:hAnsi="Arial"/>
          <w:b/>
          <w:sz w:val="20"/>
        </w:rPr>
        <w:sectPr w:rsidR="00AD1951" w:rsidRPr="00D71342" w:rsidSect="004D0644">
          <w:type w:val="continuous"/>
          <w:pgSz w:w="12240" w:h="15840"/>
          <w:pgMar w:top="1000" w:right="360" w:bottom="1200" w:left="720" w:header="0" w:footer="1000" w:gutter="0"/>
          <w:cols w:num="2" w:space="720" w:equalWidth="0">
            <w:col w:w="5234" w:space="44"/>
            <w:col w:w="5882"/>
          </w:cols>
        </w:sectPr>
      </w:pPr>
      <w:r w:rsidRPr="00D71342">
        <w:br w:type="column"/>
      </w:r>
      <w:r w:rsidR="003A6A51" w:rsidRPr="00D71342">
        <w:rPr>
          <w:rFonts w:ascii="Arial" w:hAnsi="Arial"/>
          <w:b/>
          <w:sz w:val="24"/>
        </w:rPr>
        <w:t>Sergio Andres Rey Ramirez</w:t>
      </w:r>
      <w:r w:rsidR="00F0441D" w:rsidRPr="00D71342">
        <w:rPr>
          <w:rFonts w:ascii="Arial" w:hAnsi="Arial"/>
          <w:b/>
          <w:sz w:val="24"/>
        </w:rPr>
        <w:t xml:space="preserve">              </w:t>
      </w:r>
      <w:r w:rsidRPr="00D71342">
        <w:rPr>
          <w:rFonts w:ascii="Arial" w:hAnsi="Arial"/>
          <w:b/>
          <w:sz w:val="20"/>
        </w:rPr>
        <w:t>Escuela</w:t>
      </w:r>
      <w:r w:rsidRPr="00D71342">
        <w:rPr>
          <w:rFonts w:ascii="Arial" w:hAnsi="Arial"/>
          <w:b/>
          <w:spacing w:val="-10"/>
          <w:sz w:val="20"/>
        </w:rPr>
        <w:t xml:space="preserve"> </w:t>
      </w:r>
      <w:r w:rsidRPr="00D71342">
        <w:rPr>
          <w:rFonts w:ascii="Arial" w:hAnsi="Arial"/>
          <w:b/>
          <w:sz w:val="20"/>
        </w:rPr>
        <w:t>de</w:t>
      </w:r>
      <w:r w:rsidRPr="00D71342">
        <w:rPr>
          <w:rFonts w:ascii="Arial" w:hAnsi="Arial"/>
          <w:b/>
          <w:spacing w:val="-7"/>
          <w:sz w:val="20"/>
        </w:rPr>
        <w:t xml:space="preserve"> </w:t>
      </w:r>
      <w:r w:rsidRPr="00D71342">
        <w:rPr>
          <w:rFonts w:ascii="Arial" w:hAnsi="Arial"/>
          <w:b/>
          <w:sz w:val="20"/>
        </w:rPr>
        <w:t>Estudios</w:t>
      </w:r>
      <w:r w:rsidRPr="00D71342">
        <w:rPr>
          <w:rFonts w:ascii="Arial" w:hAnsi="Arial"/>
          <w:b/>
          <w:spacing w:val="-9"/>
          <w:sz w:val="20"/>
        </w:rPr>
        <w:t xml:space="preserve"> </w:t>
      </w:r>
      <w:r w:rsidRPr="00D71342">
        <w:rPr>
          <w:rFonts w:ascii="Arial" w:hAnsi="Arial"/>
          <w:b/>
          <w:sz w:val="20"/>
        </w:rPr>
        <w:t>Industriales</w:t>
      </w:r>
      <w:r w:rsidRPr="00D71342">
        <w:rPr>
          <w:rFonts w:ascii="Arial" w:hAnsi="Arial"/>
          <w:b/>
          <w:spacing w:val="-10"/>
          <w:sz w:val="20"/>
        </w:rPr>
        <w:t xml:space="preserve"> </w:t>
      </w:r>
      <w:r w:rsidRPr="00D71342">
        <w:rPr>
          <w:rFonts w:ascii="Arial" w:hAnsi="Arial"/>
          <w:b/>
          <w:sz w:val="20"/>
        </w:rPr>
        <w:t>y</w:t>
      </w:r>
      <w:r w:rsidRPr="00D71342">
        <w:rPr>
          <w:rFonts w:ascii="Arial" w:hAnsi="Arial"/>
          <w:b/>
          <w:spacing w:val="-7"/>
          <w:sz w:val="20"/>
        </w:rPr>
        <w:t xml:space="preserve"> </w:t>
      </w:r>
      <w:r w:rsidRPr="00D71342">
        <w:rPr>
          <w:rFonts w:ascii="Arial" w:hAnsi="Arial"/>
          <w:b/>
          <w:sz w:val="20"/>
        </w:rPr>
        <w:t xml:space="preserve">Empresariales </w:t>
      </w:r>
      <w:hyperlink r:id="rId10" w:history="1">
        <w:r w:rsidR="00C2087A" w:rsidRPr="00D71342">
          <w:rPr>
            <w:rStyle w:val="Hipervnculo"/>
            <w:rFonts w:ascii="Arial" w:hAnsi="Arial"/>
            <w:b/>
            <w:color w:val="auto"/>
            <w:spacing w:val="-2"/>
            <w:sz w:val="20"/>
          </w:rPr>
          <w:t>sergio2210263@correo.uis.edu.co</w:t>
        </w:r>
      </w:hyperlink>
    </w:p>
    <w:p w14:paraId="17D70348" w14:textId="77777777" w:rsidR="00AD1951" w:rsidRPr="00D71342" w:rsidRDefault="00AD1951">
      <w:pPr>
        <w:pStyle w:val="Textoindependiente"/>
        <w:rPr>
          <w:rFonts w:ascii="Arial"/>
          <w:b/>
          <w:sz w:val="20"/>
        </w:rPr>
      </w:pPr>
    </w:p>
    <w:p w14:paraId="76E4DAF4" w14:textId="77777777" w:rsidR="003A6A51" w:rsidRPr="00D71342" w:rsidRDefault="003A6A51">
      <w:pPr>
        <w:pStyle w:val="Textoindependiente"/>
        <w:rPr>
          <w:rFonts w:ascii="Arial"/>
          <w:b/>
          <w:sz w:val="20"/>
        </w:rPr>
      </w:pPr>
    </w:p>
    <w:p w14:paraId="70C2D1ED" w14:textId="77777777" w:rsidR="003A6A51" w:rsidRPr="00D71342" w:rsidRDefault="003A6A51">
      <w:pPr>
        <w:pStyle w:val="Textoindependiente"/>
        <w:rPr>
          <w:rFonts w:ascii="Arial"/>
          <w:b/>
          <w:sz w:val="20"/>
        </w:rPr>
        <w:sectPr w:rsidR="003A6A51" w:rsidRPr="00D71342">
          <w:type w:val="continuous"/>
          <w:pgSz w:w="12240" w:h="15840"/>
          <w:pgMar w:top="1000" w:right="360" w:bottom="1200" w:left="720" w:header="0" w:footer="1000" w:gutter="0"/>
          <w:cols w:space="720"/>
        </w:sectPr>
      </w:pPr>
    </w:p>
    <w:p w14:paraId="7CFC5F50" w14:textId="77777777" w:rsidR="00AD1951" w:rsidRPr="00D71342" w:rsidRDefault="00635370">
      <w:pPr>
        <w:pStyle w:val="Ttulo2"/>
        <w:spacing w:before="95"/>
      </w:pPr>
      <w:r w:rsidRPr="00D71342">
        <w:rPr>
          <w:spacing w:val="-2"/>
        </w:rPr>
        <w:t>RESUMEN</w:t>
      </w:r>
    </w:p>
    <w:p w14:paraId="41B38C9D" w14:textId="77777777" w:rsidR="003C45FB" w:rsidRDefault="003C45FB">
      <w:pPr>
        <w:pStyle w:val="Textoindependiente"/>
        <w:spacing w:before="160" w:line="261" w:lineRule="auto"/>
        <w:ind w:left="357" w:right="41"/>
        <w:jc w:val="both"/>
      </w:pPr>
      <w:r w:rsidRPr="003C45FB">
        <w:t>El emprendimiento verde se ha establecido como una estrategia competitiva para hacer frente a los desafíos ambientales, por medio de la integración de aspectos económicos, sociales y ambientales; no obstante, las diferentes perspectivas teóricas han generado una segmentación conceptual que afecta la capacidad de entender e integrarse en el mercado. El presente estado del arte realiza una revisión sistemática de la literatura sobre el emprendimiento verde a través de la información disponible en las bases de datos de Scopus y Web of Science entre los años 2021 y 2025, enfocada en el desarrollo conceptual e impacto del emprendimiento verde, para la identificación de casos empresariales, sintetizando su implementación como estrategia competitiva; utilizando el protocolo PRISMA, en el cual se definieron ecuaciones de búsqueda, criterios de inclusión y exclusión que permitieron seleccionar 89 documentos, los cuales fueron organizados en una matriz de extracción y posteriormente analizados. Los hallazgos obtenidos se integran en cuatro perspectivas fundamentales, así mismo, se identificó una predominancia de artículos con enfoque cuantitativo; características a nivel individual, organizacional y social; y la existencia de factores empresariales, económicos y culturales que promueven o restringen el desarrollo del emprendimiento verde. Por ende, este estudio constituye un marco teórico que sirve como referente para futuras investigaciones.</w:t>
      </w:r>
    </w:p>
    <w:p w14:paraId="7EEE7B0A" w14:textId="41785DCE" w:rsidR="00AD1951" w:rsidRPr="00D71342" w:rsidRDefault="00635370" w:rsidP="001D7611">
      <w:pPr>
        <w:pStyle w:val="Textoindependiente"/>
        <w:spacing w:before="160" w:line="261" w:lineRule="auto"/>
        <w:ind w:left="357" w:right="41"/>
        <w:jc w:val="both"/>
      </w:pPr>
      <w:r w:rsidRPr="00D71342">
        <w:t xml:space="preserve">Palabras clave: </w:t>
      </w:r>
      <w:r w:rsidR="003A6A51" w:rsidRPr="00D71342">
        <w:t>Emprendimiento verde, sostenibilidad, innovación, estrategia competitiva, orientación emprendedora verde</w:t>
      </w:r>
      <w:r w:rsidRPr="00D71342">
        <w:rPr>
          <w:spacing w:val="-2"/>
        </w:rPr>
        <w:t>.</w:t>
      </w:r>
    </w:p>
    <w:p w14:paraId="1DF31D14" w14:textId="77777777" w:rsidR="00AD1951" w:rsidRPr="00D71342" w:rsidRDefault="00635370" w:rsidP="001D7611">
      <w:pPr>
        <w:pStyle w:val="Ttulo2"/>
        <w:spacing w:before="158"/>
        <w:rPr>
          <w:lang w:val="en-US"/>
        </w:rPr>
      </w:pPr>
      <w:r w:rsidRPr="00D71342">
        <w:rPr>
          <w:spacing w:val="-2"/>
          <w:lang w:val="en-US"/>
        </w:rPr>
        <w:t>ABSTRACT</w:t>
      </w:r>
    </w:p>
    <w:p w14:paraId="6A78DB76" w14:textId="77777777" w:rsidR="001D7611" w:rsidRDefault="001D7611" w:rsidP="001D7611">
      <w:pPr>
        <w:pStyle w:val="Textoindependiente"/>
        <w:spacing w:before="175" w:line="259" w:lineRule="auto"/>
        <w:ind w:left="357" w:right="41"/>
        <w:jc w:val="both"/>
        <w:rPr>
          <w:lang w:val="en-US"/>
        </w:rPr>
      </w:pPr>
      <w:r w:rsidRPr="001D7611">
        <w:rPr>
          <w:lang w:val="en-US"/>
        </w:rPr>
        <w:t>Green entrepreneurship has established itself as a competitive strategy to address environmental challenges by integrating economic, social, and environmental dimensions. However, differing theoretical perspectives have led to conceptual fragmentation, impairing its integration and understanding within the market. This state-of-the-art review conducts a systematic literature review on green entrepreneurship using data from Scopus and Web of Science databases covering the period from 2021 to 2025; focusing on the conceptual development and impact of green entrepreneurship, it aims to identify business case studies and synthesize its implementation as a competitive strategy. Following the PRISM protocol, search equations alongside inclusion and exclusion criteria were established, resulting in the selection of 89 documents, which were organized into an extraction matrix and subsequently analyzed. The findings are synthesized into four</w:t>
      </w:r>
    </w:p>
    <w:p w14:paraId="0D2AFA1D" w14:textId="61EA096F" w:rsidR="001D7611" w:rsidRDefault="001D7611" w:rsidP="00DF79F5">
      <w:pPr>
        <w:pStyle w:val="Textoindependiente"/>
        <w:spacing w:before="175" w:line="259" w:lineRule="auto"/>
        <w:ind w:right="712"/>
        <w:jc w:val="both"/>
        <w:rPr>
          <w:lang w:val="en-US"/>
        </w:rPr>
      </w:pPr>
      <w:r w:rsidRPr="001D7611">
        <w:rPr>
          <w:lang w:val="en-US"/>
        </w:rPr>
        <w:t>foundational perspectives. Additionally, the analysis revealed a predominance of quantitative studies; key characteristics at the individual, organizational, and societal levels; and various business, economic, and cultural factors that either drive or constrain the development of green entrepreneurship. Consequently, this study provides a theorical framework that serves as a baseline for future research.</w:t>
      </w:r>
    </w:p>
    <w:p w14:paraId="1E8E4309" w14:textId="177F63F9" w:rsidR="00AD1951" w:rsidRPr="00D71342" w:rsidRDefault="00635370" w:rsidP="001D7611">
      <w:pPr>
        <w:pStyle w:val="Textoindependiente"/>
        <w:spacing w:before="175" w:line="259" w:lineRule="auto"/>
        <w:ind w:left="357" w:right="712"/>
        <w:jc w:val="both"/>
        <w:rPr>
          <w:lang w:val="en-US"/>
        </w:rPr>
      </w:pPr>
      <w:r w:rsidRPr="00D71342">
        <w:rPr>
          <w:lang w:val="en-US"/>
        </w:rPr>
        <w:t>Keywords:</w:t>
      </w:r>
      <w:r w:rsidRPr="00D71342">
        <w:rPr>
          <w:spacing w:val="-3"/>
          <w:lang w:val="en-US"/>
        </w:rPr>
        <w:t xml:space="preserve"> </w:t>
      </w:r>
      <w:r w:rsidR="003A6A51" w:rsidRPr="00D71342">
        <w:rPr>
          <w:lang w:val="en-US"/>
        </w:rPr>
        <w:t>Green entrepreneurship, sustainability, innovation, competitive strategy, green entrepreneurial orientation</w:t>
      </w:r>
      <w:r w:rsidRPr="00D71342">
        <w:rPr>
          <w:spacing w:val="-2"/>
          <w:lang w:val="en-US"/>
        </w:rPr>
        <w:t>.</w:t>
      </w:r>
    </w:p>
    <w:p w14:paraId="52AE683D" w14:textId="77777777" w:rsidR="00AD1951" w:rsidRPr="00D71342" w:rsidRDefault="00635370">
      <w:pPr>
        <w:pStyle w:val="Ttulo2"/>
        <w:spacing w:before="175"/>
        <w:jc w:val="both"/>
      </w:pPr>
      <w:r w:rsidRPr="00D71342">
        <w:t>LÍNEA</w:t>
      </w:r>
      <w:r w:rsidRPr="00D71342">
        <w:rPr>
          <w:spacing w:val="-3"/>
        </w:rPr>
        <w:t xml:space="preserve"> </w:t>
      </w:r>
      <w:r w:rsidRPr="00D71342">
        <w:t>DE</w:t>
      </w:r>
      <w:r w:rsidRPr="00D71342">
        <w:rPr>
          <w:spacing w:val="-2"/>
        </w:rPr>
        <w:t xml:space="preserve"> CONOCIMIENTO</w:t>
      </w:r>
    </w:p>
    <w:p w14:paraId="07E1E04E" w14:textId="22465146" w:rsidR="00AD1951" w:rsidRPr="00D71342" w:rsidRDefault="003A6A51">
      <w:pPr>
        <w:pStyle w:val="Textoindependiente"/>
        <w:spacing w:before="177"/>
        <w:ind w:left="357"/>
        <w:jc w:val="both"/>
      </w:pPr>
      <w:r w:rsidRPr="00D71342">
        <w:t>Dirección Empresarial</w:t>
      </w:r>
      <w:r w:rsidRPr="00D71342">
        <w:rPr>
          <w:spacing w:val="-2"/>
        </w:rPr>
        <w:t>.</w:t>
      </w:r>
    </w:p>
    <w:p w14:paraId="21D23280" w14:textId="77777777" w:rsidR="00AD1951" w:rsidRPr="00D71342" w:rsidRDefault="00AD1951">
      <w:pPr>
        <w:pStyle w:val="Textoindependiente"/>
        <w:spacing w:before="145"/>
      </w:pPr>
    </w:p>
    <w:p w14:paraId="093AFEF9" w14:textId="5C290E30" w:rsidR="003A6A51" w:rsidRPr="00D71342" w:rsidRDefault="00635370" w:rsidP="003A6A51">
      <w:pPr>
        <w:pStyle w:val="Ttulo2"/>
        <w:numPr>
          <w:ilvl w:val="0"/>
          <w:numId w:val="2"/>
        </w:numPr>
        <w:tabs>
          <w:tab w:val="left" w:pos="640"/>
        </w:tabs>
        <w:ind w:left="640" w:hanging="283"/>
        <w:jc w:val="left"/>
        <w:rPr>
          <w:b w:val="0"/>
        </w:rPr>
      </w:pPr>
      <w:r w:rsidRPr="00D71342">
        <w:rPr>
          <w:spacing w:val="-2"/>
        </w:rPr>
        <w:t>INTRODUCCIÓ</w:t>
      </w:r>
      <w:r w:rsidR="003A6A51" w:rsidRPr="00D71342">
        <w:rPr>
          <w:spacing w:val="-2"/>
        </w:rPr>
        <w:t>N</w:t>
      </w:r>
    </w:p>
    <w:p w14:paraId="797B98ED" w14:textId="77777777" w:rsidR="003A6A51" w:rsidRPr="00D71342" w:rsidRDefault="003A6A51" w:rsidP="003A6A51">
      <w:pPr>
        <w:pStyle w:val="Ttulo2"/>
        <w:tabs>
          <w:tab w:val="left" w:pos="640"/>
        </w:tabs>
        <w:ind w:left="0"/>
        <w:rPr>
          <w:b w:val="0"/>
        </w:rPr>
      </w:pPr>
    </w:p>
    <w:p w14:paraId="3CD83F37" w14:textId="7336AF02" w:rsidR="00AD1951" w:rsidRPr="00D71342" w:rsidRDefault="00635370" w:rsidP="004D0644">
      <w:pPr>
        <w:pStyle w:val="Textoindependiente"/>
        <w:spacing w:before="206" w:line="259" w:lineRule="auto"/>
        <w:ind w:left="357" w:right="712"/>
        <w:jc w:val="both"/>
      </w:pPr>
      <w:r w:rsidRPr="00D71342">
        <w:t>En</w:t>
      </w:r>
      <w:r w:rsidR="003A6A51" w:rsidRPr="00D71342">
        <w:t xml:space="preserve"> un mundo que se enfrenta al crecimiento poblacional, la limitación de los recursos, el cambio climático, el deterioro de los ecosistemas y la disminución de la biodiversidad, se extendió el interés y la conciencia social frente al medio ambiente, impulsando la toma de nuevas medidas por parte de los países e instituciones hacia una economía verde </w:t>
      </w:r>
      <w:r w:rsidRPr="00D71342">
        <w:t>(</w:t>
      </w:r>
      <w:r w:rsidR="003A6A51" w:rsidRPr="00D71342">
        <w:t>Alwakid</w:t>
      </w:r>
      <w:r w:rsidRPr="00D71342">
        <w:t xml:space="preserve"> et al., 202</w:t>
      </w:r>
      <w:r w:rsidR="003A6A51" w:rsidRPr="00D71342">
        <w:t>0</w:t>
      </w:r>
      <w:r w:rsidRPr="00D71342">
        <w:t>).</w:t>
      </w:r>
      <w:r w:rsidR="003A6A51" w:rsidRPr="00D71342">
        <w:t xml:space="preserve"> En este contexto, se origina el emprendimiento verde cuyo enfoque integra innovación, sostenibilidad y responsabilidad social, promoviendo el crecimiento económico y reduciendo el impacto ambiental (Kraus et al., 2018).</w:t>
      </w:r>
    </w:p>
    <w:p w14:paraId="4EFDFF2A" w14:textId="4730BE94" w:rsidR="00AD1951" w:rsidRPr="00D71342" w:rsidRDefault="003A6A51">
      <w:pPr>
        <w:pStyle w:val="Textoindependiente"/>
        <w:spacing w:before="158" w:line="259" w:lineRule="auto"/>
        <w:ind w:left="357" w:right="711"/>
        <w:jc w:val="both"/>
      </w:pPr>
      <w:r w:rsidRPr="00D71342">
        <w:t>El interés académico y empresarial por esta realidad ha crecido de manera significativa, de acuerdo con la encuesta de percepción de riesgos globales realizada por WEF (2024) se observó que en el corto plazo (2 años) los riesgos ambientales (fenómenos meteorológicos extremos, cambios críticos en los ecosistemas terrestres, la escasez de recursos naturales y la contaminación) se encuentran presentes entre los diez más preocupantes para la sociedad, las organizaciones internacionales, la academia, los gobierno</w:t>
      </w:r>
      <w:r w:rsidR="006E692E" w:rsidRPr="00D71342">
        <w:t>s</w:t>
      </w:r>
      <w:r w:rsidRPr="00D71342">
        <w:t xml:space="preserve"> y el sector privado</w:t>
      </w:r>
      <w:r w:rsidR="006E692E" w:rsidRPr="00D71342">
        <w:t>, a</w:t>
      </w:r>
      <w:r w:rsidRPr="00D71342">
        <w:t>demás de estar únicamente presente para las personas menores de 30 años. Sin embargo, en el largo plazo (10 años) entre los anteriores mencionados, los riesgos ambientales se encuentran liderando este ranking, ubicándose entre las primeras cinco.</w:t>
      </w:r>
    </w:p>
    <w:p w14:paraId="691CD8FB" w14:textId="77777777" w:rsidR="004452EA" w:rsidRDefault="003A6A51" w:rsidP="004452EA">
      <w:pPr>
        <w:pStyle w:val="Textoindependiente"/>
        <w:spacing w:before="158" w:line="259" w:lineRule="auto"/>
        <w:ind w:left="357" w:right="711"/>
        <w:jc w:val="both"/>
      </w:pPr>
      <w:r w:rsidRPr="00D71342">
        <w:t>A partir de la variedad de enfoques y perspectivas teóricas existentes, es indispensable la creación de un estado del arte que analice, organice y sistematice los avances académicos en relación</w:t>
      </w:r>
    </w:p>
    <w:p w14:paraId="2B761F52" w14:textId="4BDC9A6B" w:rsidR="003A6A51" w:rsidRPr="00D71342" w:rsidRDefault="003A6A51" w:rsidP="004452EA">
      <w:pPr>
        <w:pStyle w:val="Textoindependiente"/>
        <w:spacing w:before="158" w:line="259" w:lineRule="auto"/>
        <w:ind w:left="357" w:right="38"/>
        <w:jc w:val="both"/>
      </w:pPr>
      <w:r w:rsidRPr="00D71342">
        <w:lastRenderedPageBreak/>
        <w:t>con el emprendimiento verde. Este ejercicio no solo permitirá comprender los fundamentos conceptuales y las características más relevantes del campo, sino también la recopilación de información que sirva como antecedente para futuras investigaciones.</w:t>
      </w:r>
    </w:p>
    <w:p w14:paraId="05A5F034" w14:textId="03B631B4" w:rsidR="003A6A51" w:rsidRPr="00D71342" w:rsidRDefault="003A6A51" w:rsidP="004452EA">
      <w:pPr>
        <w:pStyle w:val="Textoindependiente"/>
        <w:spacing w:before="158" w:line="259" w:lineRule="auto"/>
        <w:ind w:left="357" w:right="38"/>
        <w:jc w:val="both"/>
      </w:pPr>
      <w:r w:rsidRPr="00D71342">
        <w:t>La presente investigación se contempla en un ámbito general e internacional, integrando literatura académica proveniente de bases de datos reconocid</w:t>
      </w:r>
      <w:r w:rsidR="004D0644" w:rsidRPr="00D71342">
        <w:t>as como Scopus y Web of Science (WoS)</w:t>
      </w:r>
      <w:r w:rsidRPr="00D71342">
        <w:t xml:space="preserve"> y considerando</w:t>
      </w:r>
      <w:r w:rsidR="004D0644" w:rsidRPr="00D71342">
        <w:t xml:space="preserve"> </w:t>
      </w:r>
      <w:r w:rsidRPr="00D71342">
        <w:t>múltiples corrientes de investigación que abordan el emprendimiento verde desde perspectivas organizacionales,</w:t>
      </w:r>
      <w:r w:rsidR="0026341B" w:rsidRPr="00D71342">
        <w:t xml:space="preserve"> </w:t>
      </w:r>
      <w:r w:rsidRPr="00D71342">
        <w:t>económicas, sociales y culturales.</w:t>
      </w:r>
    </w:p>
    <w:p w14:paraId="756FA7D7" w14:textId="45FE28F7" w:rsidR="003A6A51" w:rsidRPr="00D71342" w:rsidRDefault="003A6A51" w:rsidP="004452EA">
      <w:pPr>
        <w:pStyle w:val="Textoindependiente"/>
        <w:spacing w:before="158" w:line="259" w:lineRule="auto"/>
        <w:ind w:left="357" w:right="38"/>
        <w:jc w:val="both"/>
      </w:pPr>
      <w:r w:rsidRPr="00D71342">
        <w:t>En consecuencia, se busca aportar a la construcción de un marco conceptual robusto que facilite la comprensión de este fenómeno y sirva como referente para futuras investigaciones.</w:t>
      </w:r>
    </w:p>
    <w:p w14:paraId="55FD82DC" w14:textId="77777777" w:rsidR="003A6A51" w:rsidRPr="00D71342" w:rsidRDefault="003A6A51" w:rsidP="008B2846">
      <w:pPr>
        <w:pStyle w:val="Textoindependiente"/>
        <w:spacing w:line="259" w:lineRule="auto"/>
        <w:ind w:left="357" w:right="711"/>
        <w:jc w:val="both"/>
      </w:pPr>
    </w:p>
    <w:p w14:paraId="4B706265" w14:textId="77777777" w:rsidR="003A6A51" w:rsidRPr="00D71342" w:rsidRDefault="003A6A51" w:rsidP="0026341B">
      <w:pPr>
        <w:pStyle w:val="Prrafodelista"/>
        <w:numPr>
          <w:ilvl w:val="0"/>
          <w:numId w:val="2"/>
        </w:numPr>
        <w:tabs>
          <w:tab w:val="left" w:pos="631"/>
        </w:tabs>
        <w:ind w:left="631" w:right="38" w:hanging="274"/>
        <w:jc w:val="left"/>
        <w:rPr>
          <w:b/>
          <w:sz w:val="18"/>
        </w:rPr>
      </w:pPr>
      <w:r w:rsidRPr="00D71342">
        <w:rPr>
          <w:b/>
          <w:spacing w:val="-2"/>
          <w:sz w:val="18"/>
        </w:rPr>
        <w:t>CONTENIDO</w:t>
      </w:r>
    </w:p>
    <w:p w14:paraId="58082BD3" w14:textId="77777777" w:rsidR="003A6A51" w:rsidRPr="00D71342" w:rsidRDefault="003A6A51" w:rsidP="0026341B">
      <w:pPr>
        <w:pStyle w:val="Prrafodelista"/>
        <w:tabs>
          <w:tab w:val="left" w:pos="631"/>
        </w:tabs>
        <w:ind w:left="631" w:right="38" w:firstLine="0"/>
        <w:jc w:val="right"/>
        <w:rPr>
          <w:b/>
          <w:sz w:val="18"/>
        </w:rPr>
      </w:pPr>
    </w:p>
    <w:p w14:paraId="317B8A65" w14:textId="77777777" w:rsidR="003A6A51" w:rsidRPr="00D71342" w:rsidRDefault="003A6A51" w:rsidP="0026341B">
      <w:pPr>
        <w:pStyle w:val="Ttulo1"/>
        <w:numPr>
          <w:ilvl w:val="2"/>
          <w:numId w:val="1"/>
        </w:numPr>
        <w:tabs>
          <w:tab w:val="left" w:pos="853"/>
        </w:tabs>
        <w:spacing w:before="176"/>
        <w:ind w:left="853" w:right="38" w:hanging="496"/>
      </w:pPr>
      <w:r w:rsidRPr="00D71342">
        <w:rPr>
          <w:spacing w:val="-2"/>
        </w:rPr>
        <w:t>Objetivos</w:t>
      </w:r>
    </w:p>
    <w:p w14:paraId="6B791D08" w14:textId="77777777" w:rsidR="003A6A51" w:rsidRPr="00D71342" w:rsidRDefault="003A6A51" w:rsidP="0026341B">
      <w:pPr>
        <w:spacing w:before="180"/>
        <w:ind w:left="357" w:right="38"/>
        <w:jc w:val="both"/>
        <w:rPr>
          <w:i/>
          <w:spacing w:val="-2"/>
          <w:sz w:val="18"/>
        </w:rPr>
      </w:pPr>
      <w:r w:rsidRPr="00D71342">
        <w:rPr>
          <w:i/>
          <w:sz w:val="18"/>
        </w:rPr>
        <w:t xml:space="preserve">Objetivo </w:t>
      </w:r>
      <w:r w:rsidRPr="00D71342">
        <w:rPr>
          <w:i/>
          <w:spacing w:val="-2"/>
          <w:sz w:val="18"/>
        </w:rPr>
        <w:t>general</w:t>
      </w:r>
    </w:p>
    <w:p w14:paraId="69EE2059" w14:textId="2C2E3D5D" w:rsidR="003A6A51" w:rsidRPr="00D71342" w:rsidRDefault="003A6A51" w:rsidP="0026341B">
      <w:pPr>
        <w:pStyle w:val="Textoindependiente"/>
        <w:spacing w:before="158" w:line="259" w:lineRule="auto"/>
        <w:ind w:left="357" w:right="38"/>
        <w:jc w:val="both"/>
      </w:pPr>
      <w:r w:rsidRPr="00D71342">
        <w:t>Realizar una revisión sistemática de la literatura enfocada en el desarrollo conceptual e impacto del emprendimiento verde, para la identificación de casos empresariales, sintetizando su implementación como estrategia competitiva.</w:t>
      </w:r>
    </w:p>
    <w:p w14:paraId="71804778" w14:textId="77777777" w:rsidR="003A6A51" w:rsidRPr="00D71342" w:rsidRDefault="003A6A51" w:rsidP="0026341B">
      <w:pPr>
        <w:spacing w:before="161"/>
        <w:ind w:left="357" w:right="38"/>
        <w:jc w:val="both"/>
        <w:rPr>
          <w:i/>
          <w:spacing w:val="-2"/>
          <w:sz w:val="18"/>
        </w:rPr>
      </w:pPr>
      <w:r w:rsidRPr="00D71342">
        <w:rPr>
          <w:i/>
          <w:sz w:val="18"/>
        </w:rPr>
        <w:t>Objetivos</w:t>
      </w:r>
      <w:r w:rsidRPr="00D71342">
        <w:rPr>
          <w:i/>
          <w:spacing w:val="-1"/>
          <w:sz w:val="18"/>
        </w:rPr>
        <w:t xml:space="preserve"> </w:t>
      </w:r>
      <w:r w:rsidRPr="00D71342">
        <w:rPr>
          <w:i/>
          <w:spacing w:val="-2"/>
          <w:sz w:val="18"/>
        </w:rPr>
        <w:t>específicos</w:t>
      </w:r>
    </w:p>
    <w:p w14:paraId="30B19CE8" w14:textId="28DD331E" w:rsidR="003A6A51" w:rsidRPr="00D71342" w:rsidRDefault="003A6A51" w:rsidP="0026341B">
      <w:pPr>
        <w:pStyle w:val="Textoindependiente"/>
        <w:spacing w:before="158" w:line="259" w:lineRule="auto"/>
        <w:ind w:left="357" w:right="38"/>
        <w:jc w:val="both"/>
      </w:pPr>
      <w:r w:rsidRPr="00D71342">
        <w:t xml:space="preserve">Elaborar un protocolo de revisión sistemática de la literatura que establezca los criterios de búsqueda y selección de estudios sobre emprendimiento verde. </w:t>
      </w:r>
    </w:p>
    <w:p w14:paraId="0D7D57B0" w14:textId="4CBB5097" w:rsidR="003A6A51" w:rsidRPr="00D71342" w:rsidRDefault="003A6A51" w:rsidP="0026341B">
      <w:pPr>
        <w:pStyle w:val="Textoindependiente"/>
        <w:spacing w:before="158" w:line="259" w:lineRule="auto"/>
        <w:ind w:left="357" w:right="38"/>
        <w:jc w:val="both"/>
      </w:pPr>
      <w:r w:rsidRPr="00D71342">
        <w:t xml:space="preserve">Efectuar la revisión de literatura aplicando los métodos definidos para la identificación, reducción, síntesis y análisis de las fuentes académicas relacionadas con el emprendimiento verde. </w:t>
      </w:r>
    </w:p>
    <w:p w14:paraId="7409632E" w14:textId="1992804B" w:rsidR="003A6A51" w:rsidRPr="00D71342" w:rsidRDefault="003A6A51" w:rsidP="0026341B">
      <w:pPr>
        <w:pStyle w:val="Textoindependiente"/>
        <w:spacing w:before="158" w:line="259" w:lineRule="auto"/>
        <w:ind w:left="357" w:right="38"/>
        <w:jc w:val="both"/>
      </w:pPr>
      <w:r w:rsidRPr="00D71342">
        <w:t xml:space="preserve">Identificar los componentes, características y enfoque metodológicos predominantes utilizados en las investigaciones académicas en el contexto global sobre el emprendimiento verde. </w:t>
      </w:r>
    </w:p>
    <w:p w14:paraId="188FA280" w14:textId="02B2D3AF" w:rsidR="003A6A51" w:rsidRPr="00D71342" w:rsidRDefault="003A6A51" w:rsidP="0026341B">
      <w:pPr>
        <w:pStyle w:val="Textoindependiente"/>
        <w:spacing w:before="158" w:line="259" w:lineRule="auto"/>
        <w:ind w:left="357" w:right="38"/>
        <w:jc w:val="both"/>
      </w:pPr>
      <w:r w:rsidRPr="00D71342">
        <w:t>Analizar los factores empresariales, económicos y culturales que promueven y restringen su desarrollo, contra</w:t>
      </w:r>
      <w:r w:rsidR="006E692E" w:rsidRPr="00D71342">
        <w:t>s</w:t>
      </w:r>
      <w:r w:rsidRPr="00D71342">
        <w:t>tando con casos de éxito integrando el emprendimiento verde en la empresa.</w:t>
      </w:r>
    </w:p>
    <w:p w14:paraId="657CB084" w14:textId="58463E66" w:rsidR="003A6A51" w:rsidRPr="00D71342" w:rsidRDefault="003A6A51" w:rsidP="0026341B">
      <w:pPr>
        <w:pStyle w:val="Textoindependiente"/>
        <w:spacing w:before="158" w:line="259" w:lineRule="auto"/>
        <w:ind w:left="357" w:right="38"/>
        <w:jc w:val="both"/>
      </w:pPr>
      <w:r w:rsidRPr="00D71342">
        <w:t xml:space="preserve">Sintetizar la información obtenida en el protocolo de revisión de literatura del emprendimiento verde y que funcione como base para futuras implementaciones como estrategia competitiva para las empresas. </w:t>
      </w:r>
    </w:p>
    <w:p w14:paraId="722BE1B6" w14:textId="77777777" w:rsidR="003A6A51" w:rsidRPr="00D71342" w:rsidRDefault="003A6A51" w:rsidP="0026341B">
      <w:pPr>
        <w:pStyle w:val="Ttulo1"/>
        <w:numPr>
          <w:ilvl w:val="2"/>
          <w:numId w:val="1"/>
        </w:numPr>
        <w:tabs>
          <w:tab w:val="left" w:pos="853"/>
        </w:tabs>
        <w:spacing w:before="155"/>
        <w:ind w:left="853" w:right="38" w:hanging="496"/>
      </w:pPr>
      <w:r w:rsidRPr="00D71342">
        <w:t>Metodología</w:t>
      </w:r>
      <w:r w:rsidRPr="00D71342">
        <w:rPr>
          <w:spacing w:val="-4"/>
        </w:rPr>
        <w:t xml:space="preserve"> </w:t>
      </w:r>
      <w:r w:rsidRPr="00D71342">
        <w:t>de</w:t>
      </w:r>
      <w:r w:rsidRPr="00D71342">
        <w:rPr>
          <w:spacing w:val="-4"/>
        </w:rPr>
        <w:t xml:space="preserve"> </w:t>
      </w:r>
      <w:r w:rsidRPr="00D71342">
        <w:t>la</w:t>
      </w:r>
      <w:r w:rsidRPr="00D71342">
        <w:rPr>
          <w:spacing w:val="-4"/>
        </w:rPr>
        <w:t xml:space="preserve"> </w:t>
      </w:r>
      <w:r w:rsidRPr="00D71342">
        <w:rPr>
          <w:spacing w:val="-2"/>
        </w:rPr>
        <w:t>Investigación</w:t>
      </w:r>
    </w:p>
    <w:p w14:paraId="562B1BD0" w14:textId="44E4371D" w:rsidR="003A6A51" w:rsidRPr="00D71342" w:rsidRDefault="003A6A51" w:rsidP="0026341B">
      <w:pPr>
        <w:pStyle w:val="Textoindependiente"/>
        <w:spacing w:before="158" w:line="259" w:lineRule="auto"/>
        <w:ind w:left="357" w:right="38"/>
        <w:jc w:val="both"/>
      </w:pPr>
      <w:r w:rsidRPr="00D71342">
        <w:t xml:space="preserve"> Debido a la revisión sistemática de la literatura de carácter cualitativo-descriptivo demandada para el proyecto de investigación, se utilizó un protocolo de revisión cumpliendo las directrices de la declaración </w:t>
      </w:r>
      <w:r w:rsidRPr="00D71342">
        <w:rPr>
          <w:i/>
          <w:iCs/>
        </w:rPr>
        <w:t>Preferred Reporting Items for Systematic Reviews and Meta-Analysis</w:t>
      </w:r>
      <w:r w:rsidRPr="00D71342">
        <w:t xml:space="preserve"> (PRISMA), ya que facilitó pautas claras y definidas para asegurar el rigor, la pertinencia y calidad en las fases de recolección, selección y análisis de la literatura. </w:t>
      </w:r>
    </w:p>
    <w:p w14:paraId="1B038860" w14:textId="415E8397" w:rsidR="003A6A51" w:rsidRPr="00D71342" w:rsidRDefault="003A6A51" w:rsidP="00CF60C2">
      <w:pPr>
        <w:pStyle w:val="Textoindependiente"/>
        <w:spacing w:before="158" w:line="259" w:lineRule="auto"/>
        <w:ind w:left="357" w:right="38"/>
        <w:jc w:val="both"/>
      </w:pPr>
      <w:r w:rsidRPr="00D71342">
        <w:rPr>
          <w:lang w:val="es-CO"/>
        </w:rPr>
        <w:t xml:space="preserve">Este mecanismo se implementó en cuatro etapas sucesivas. </w:t>
      </w:r>
      <w:r w:rsidRPr="00D71342">
        <w:t xml:space="preserve">En la siguiente figura 1 se visualiza el recorrido completo del protocolo PRISMA, desde la identificación hasta la inclusión de los estudios </w:t>
      </w:r>
      <w:r w:rsidRPr="00D71342">
        <w:t>finales:</w:t>
      </w:r>
    </w:p>
    <w:p w14:paraId="580C6DBB" w14:textId="0467E491" w:rsidR="003A6A51" w:rsidRPr="00D71342" w:rsidRDefault="003A6A51" w:rsidP="005B3937">
      <w:pPr>
        <w:pStyle w:val="Ttulo3"/>
        <w:spacing w:after="240" w:line="206" w:lineRule="exact"/>
        <w:ind w:left="426" w:right="711"/>
        <w:jc w:val="center"/>
      </w:pPr>
      <w:r w:rsidRPr="00D71342">
        <w:t>Figura</w:t>
      </w:r>
      <w:r w:rsidRPr="00D71342">
        <w:rPr>
          <w:spacing w:val="-4"/>
        </w:rPr>
        <w:t xml:space="preserve"> </w:t>
      </w:r>
      <w:r w:rsidRPr="00D71342">
        <w:t>1.</w:t>
      </w:r>
      <w:r w:rsidRPr="00D71342">
        <w:rPr>
          <w:spacing w:val="-3"/>
        </w:rPr>
        <w:t xml:space="preserve"> </w:t>
      </w:r>
      <w:r w:rsidRPr="00D71342">
        <w:t>Diagrama de flujo PRISMA.</w:t>
      </w:r>
    </w:p>
    <w:p w14:paraId="5A507B82" w14:textId="5C9F1B38" w:rsidR="003A6A51" w:rsidRPr="00D71342" w:rsidRDefault="003A6A51" w:rsidP="005B3937">
      <w:pPr>
        <w:pStyle w:val="Textoindependiente"/>
        <w:spacing w:line="259" w:lineRule="auto"/>
        <w:ind w:left="357" w:right="711"/>
        <w:jc w:val="center"/>
      </w:pPr>
      <w:r w:rsidRPr="00D71342">
        <w:rPr>
          <w:noProof/>
          <w:lang w:val="es-CO" w:eastAsia="es-CO"/>
        </w:rPr>
        <w:drawing>
          <wp:inline distT="0" distB="0" distL="0" distR="0" wp14:anchorId="5EE409E2" wp14:editId="43F42645">
            <wp:extent cx="2970000" cy="2465759"/>
            <wp:effectExtent l="0" t="0" r="1905" b="0"/>
            <wp:docPr id="1981006634" name="Imagen 1981006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pic:cNvPicPr/>
                  </pic:nvPicPr>
                  <pic:blipFill>
                    <a:blip r:embed="rId11">
                      <a:extLst>
                        <a:ext uri="{28A0092B-C50C-407E-A947-70E740481C1C}">
                          <a14:useLocalDpi xmlns:a14="http://schemas.microsoft.com/office/drawing/2010/main" val="0"/>
                        </a:ext>
                      </a:extLst>
                    </a:blip>
                    <a:stretch>
                      <a:fillRect/>
                    </a:stretch>
                  </pic:blipFill>
                  <pic:spPr>
                    <a:xfrm>
                      <a:off x="0" y="0"/>
                      <a:ext cx="2970000" cy="2465759"/>
                    </a:xfrm>
                    <a:prstGeom prst="rect">
                      <a:avLst/>
                    </a:prstGeom>
                  </pic:spPr>
                </pic:pic>
              </a:graphicData>
            </a:graphic>
          </wp:inline>
        </w:drawing>
      </w:r>
    </w:p>
    <w:p w14:paraId="558E23AD" w14:textId="7BC782B5" w:rsidR="003A6A51" w:rsidRPr="00D71342" w:rsidRDefault="003A6A51" w:rsidP="0026341B">
      <w:pPr>
        <w:spacing w:line="160" w:lineRule="exact"/>
        <w:ind w:left="357" w:right="711"/>
        <w:jc w:val="both"/>
        <w:rPr>
          <w:sz w:val="14"/>
        </w:rPr>
      </w:pPr>
      <w:r w:rsidRPr="00D71342">
        <w:rPr>
          <w:sz w:val="14"/>
        </w:rPr>
        <w:t>Fuente:</w:t>
      </w:r>
      <w:r w:rsidRPr="00D71342">
        <w:rPr>
          <w:spacing w:val="-3"/>
          <w:sz w:val="14"/>
        </w:rPr>
        <w:t xml:space="preserve"> </w:t>
      </w:r>
      <w:r w:rsidRPr="00D71342">
        <w:rPr>
          <w:sz w:val="14"/>
        </w:rPr>
        <w:t>Gráfica</w:t>
      </w:r>
      <w:r w:rsidRPr="00D71342">
        <w:rPr>
          <w:spacing w:val="-3"/>
          <w:sz w:val="14"/>
        </w:rPr>
        <w:t xml:space="preserve"> </w:t>
      </w:r>
      <w:r w:rsidRPr="00D71342">
        <w:rPr>
          <w:sz w:val="14"/>
        </w:rPr>
        <w:t>tomada</w:t>
      </w:r>
      <w:r w:rsidRPr="00D71342">
        <w:rPr>
          <w:spacing w:val="-3"/>
          <w:sz w:val="14"/>
        </w:rPr>
        <w:t xml:space="preserve"> </w:t>
      </w:r>
      <w:r w:rsidRPr="00D71342">
        <w:rPr>
          <w:sz w:val="14"/>
        </w:rPr>
        <w:t>de</w:t>
      </w:r>
      <w:r w:rsidRPr="00D71342">
        <w:rPr>
          <w:spacing w:val="-3"/>
          <w:sz w:val="14"/>
        </w:rPr>
        <w:t xml:space="preserve"> </w:t>
      </w:r>
      <w:r w:rsidRPr="00D71342">
        <w:rPr>
          <w:sz w:val="14"/>
        </w:rPr>
        <w:t>la</w:t>
      </w:r>
      <w:r w:rsidRPr="00D71342">
        <w:rPr>
          <w:spacing w:val="-3"/>
          <w:sz w:val="14"/>
        </w:rPr>
        <w:t xml:space="preserve"> </w:t>
      </w:r>
      <w:r w:rsidRPr="00D71342">
        <w:rPr>
          <w:sz w:val="14"/>
        </w:rPr>
        <w:t>base</w:t>
      </w:r>
      <w:r w:rsidRPr="00D71342">
        <w:rPr>
          <w:spacing w:val="-4"/>
          <w:sz w:val="14"/>
        </w:rPr>
        <w:t xml:space="preserve"> </w:t>
      </w:r>
      <w:r w:rsidRPr="00D71342">
        <w:rPr>
          <w:sz w:val="14"/>
        </w:rPr>
        <w:t>de</w:t>
      </w:r>
      <w:r w:rsidRPr="00D71342">
        <w:rPr>
          <w:spacing w:val="-3"/>
          <w:sz w:val="14"/>
        </w:rPr>
        <w:t xml:space="preserve"> </w:t>
      </w:r>
      <w:r w:rsidRPr="00D71342">
        <w:rPr>
          <w:sz w:val="14"/>
        </w:rPr>
        <w:t>datos</w:t>
      </w:r>
      <w:r w:rsidRPr="00D71342">
        <w:rPr>
          <w:spacing w:val="-7"/>
          <w:sz w:val="14"/>
        </w:rPr>
        <w:t xml:space="preserve"> </w:t>
      </w:r>
      <w:r w:rsidRPr="00D71342">
        <w:rPr>
          <w:sz w:val="14"/>
        </w:rPr>
        <w:t>Scopus.</w:t>
      </w:r>
      <w:r w:rsidRPr="00D71342">
        <w:rPr>
          <w:spacing w:val="-2"/>
          <w:sz w:val="14"/>
        </w:rPr>
        <w:t xml:space="preserve"> (2026)</w:t>
      </w:r>
    </w:p>
    <w:p w14:paraId="7AB01D81" w14:textId="77777777" w:rsidR="003A6A51" w:rsidRPr="00D71342" w:rsidRDefault="003A6A51" w:rsidP="0026341B">
      <w:pPr>
        <w:pStyle w:val="Ttulo1"/>
        <w:numPr>
          <w:ilvl w:val="2"/>
          <w:numId w:val="1"/>
        </w:numPr>
        <w:tabs>
          <w:tab w:val="left" w:pos="853"/>
        </w:tabs>
        <w:spacing w:before="160"/>
        <w:ind w:left="853" w:right="711" w:hanging="496"/>
      </w:pPr>
      <w:r w:rsidRPr="00D71342">
        <w:t>Resultados</w:t>
      </w:r>
      <w:r w:rsidRPr="00D71342">
        <w:rPr>
          <w:spacing w:val="-12"/>
        </w:rPr>
        <w:t xml:space="preserve"> </w:t>
      </w:r>
      <w:r w:rsidRPr="00D71342">
        <w:rPr>
          <w:spacing w:val="-2"/>
        </w:rPr>
        <w:t>obtenidos</w:t>
      </w:r>
    </w:p>
    <w:p w14:paraId="6D0D0205" w14:textId="635A9578" w:rsidR="003A6A51" w:rsidRPr="00D71342" w:rsidRDefault="003A6A51" w:rsidP="0026341B">
      <w:pPr>
        <w:spacing w:before="180"/>
        <w:ind w:left="357" w:right="711"/>
        <w:jc w:val="both"/>
        <w:rPr>
          <w:sz w:val="18"/>
          <w:szCs w:val="18"/>
        </w:rPr>
      </w:pPr>
      <w:r w:rsidRPr="00D71342">
        <w:rPr>
          <w:sz w:val="18"/>
          <w:szCs w:val="18"/>
        </w:rPr>
        <w:t>Esta revisión posibilitó comprender la trascendencia del emprendimiento verde a nivel teórico con la literatura científica y a nivel práctico como estrategia competitiva. Se realizó con el propósito de desarrollar la conceptualización del emprendimiento verde, identificando sus enfoques metodológicos, delimitaciones, características, factores que lo promueven y restringen mediante casos de estudio.</w:t>
      </w:r>
    </w:p>
    <w:p w14:paraId="11B7D85C" w14:textId="5168C99C" w:rsidR="003A6A51" w:rsidRPr="00D71342" w:rsidRDefault="003A6A51" w:rsidP="0026341B">
      <w:pPr>
        <w:pStyle w:val="Textoindependiente"/>
        <w:spacing w:before="158" w:line="259" w:lineRule="auto"/>
        <w:ind w:left="357" w:right="711"/>
        <w:jc w:val="both"/>
      </w:pPr>
      <w:r w:rsidRPr="00D71342">
        <w:rPr>
          <w:i/>
        </w:rPr>
        <w:t>Análisis</w:t>
      </w:r>
      <w:r w:rsidRPr="00D71342">
        <w:rPr>
          <w:i/>
          <w:spacing w:val="-9"/>
        </w:rPr>
        <w:t xml:space="preserve"> </w:t>
      </w:r>
      <w:r w:rsidRPr="00D71342">
        <w:rPr>
          <w:i/>
        </w:rPr>
        <w:t>bibliométrico</w:t>
      </w:r>
    </w:p>
    <w:p w14:paraId="5BE39B44" w14:textId="2BCC1474" w:rsidR="003A6A51" w:rsidRPr="00D71342" w:rsidRDefault="003A6A51" w:rsidP="00950981">
      <w:pPr>
        <w:spacing w:before="180"/>
        <w:ind w:left="357" w:right="711"/>
        <w:jc w:val="both"/>
        <w:rPr>
          <w:sz w:val="18"/>
          <w:szCs w:val="18"/>
        </w:rPr>
      </w:pPr>
      <w:r w:rsidRPr="00D71342">
        <w:rPr>
          <w:sz w:val="18"/>
          <w:szCs w:val="18"/>
        </w:rPr>
        <w:t>Se llevó a cabo este análisis mediante las herramientas para estudios bibliométricos Scopus y</w:t>
      </w:r>
      <w:r w:rsidR="006E692E" w:rsidRPr="00D71342">
        <w:rPr>
          <w:sz w:val="18"/>
          <w:szCs w:val="18"/>
        </w:rPr>
        <w:t xml:space="preserve"> WoS,</w:t>
      </w:r>
      <w:r w:rsidRPr="00D71342">
        <w:rPr>
          <w:sz w:val="18"/>
          <w:szCs w:val="18"/>
        </w:rPr>
        <w:t xml:space="preserve"> disponibles en la biblioteca virtual de la Universidad Industrial de Santander (UIS). En esta investigación, se emplearon dos ecuaciones con operadores booleanos como AND, OR y el uso de comillas para precisar en la búsqueda de términos. Lo anterior se evidencia en las respectivas ecuaciones de búsqueda presentes en la tabla 1.</w:t>
      </w:r>
    </w:p>
    <w:p w14:paraId="085E5CD6" w14:textId="4CEAACFD" w:rsidR="003A6A51" w:rsidRPr="00D71342" w:rsidRDefault="003A6A51" w:rsidP="008B2846">
      <w:pPr>
        <w:pStyle w:val="Ttulo3"/>
        <w:spacing w:before="159" w:after="240"/>
        <w:ind w:left="426" w:right="711"/>
        <w:jc w:val="center"/>
      </w:pPr>
      <w:r w:rsidRPr="00D71342">
        <w:t>Tabla</w:t>
      </w:r>
      <w:r w:rsidRPr="00D71342">
        <w:rPr>
          <w:spacing w:val="-5"/>
        </w:rPr>
        <w:t xml:space="preserve"> </w:t>
      </w:r>
      <w:r w:rsidRPr="00D71342">
        <w:t>1.</w:t>
      </w:r>
      <w:r w:rsidRPr="00D71342">
        <w:rPr>
          <w:spacing w:val="-6"/>
        </w:rPr>
        <w:t xml:space="preserve"> </w:t>
      </w:r>
      <w:r w:rsidRPr="00D71342">
        <w:t>Ecuaciones de búsqueda.</w:t>
      </w:r>
    </w:p>
    <w:tbl>
      <w:tblPr>
        <w:tblStyle w:val="Tablaconcuadrcula"/>
        <w:tblW w:w="4677" w:type="dxa"/>
        <w:tblInd w:w="534"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
        <w:gridCol w:w="3969"/>
      </w:tblGrid>
      <w:tr w:rsidR="00D71342" w:rsidRPr="00D71342" w14:paraId="67EA8228" w14:textId="77777777" w:rsidTr="00950981">
        <w:trPr>
          <w:trHeight w:val="494"/>
        </w:trPr>
        <w:tc>
          <w:tcPr>
            <w:tcW w:w="708" w:type="dxa"/>
            <w:tcBorders>
              <w:top w:val="single" w:sz="4" w:space="0" w:color="auto"/>
              <w:bottom w:val="single" w:sz="4" w:space="0" w:color="auto"/>
            </w:tcBorders>
            <w:noWrap/>
            <w:vAlign w:val="center"/>
            <w:hideMark/>
          </w:tcPr>
          <w:p w14:paraId="1186A05C" w14:textId="77777777" w:rsidR="003A6A51" w:rsidRPr="00D71342" w:rsidRDefault="003A6A51" w:rsidP="00950981">
            <w:pPr>
              <w:widowControl w:val="0"/>
              <w:autoSpaceDE w:val="0"/>
              <w:autoSpaceDN w:val="0"/>
              <w:ind w:left="-143" w:right="-108"/>
              <w:jc w:val="center"/>
              <w:rPr>
                <w:sz w:val="14"/>
              </w:rPr>
            </w:pPr>
            <w:r w:rsidRPr="00D71342">
              <w:rPr>
                <w:sz w:val="14"/>
              </w:rPr>
              <w:t>Scopus</w:t>
            </w:r>
          </w:p>
        </w:tc>
        <w:tc>
          <w:tcPr>
            <w:tcW w:w="3969" w:type="dxa"/>
            <w:tcBorders>
              <w:top w:val="single" w:sz="4" w:space="0" w:color="auto"/>
              <w:bottom w:val="single" w:sz="4" w:space="0" w:color="auto"/>
            </w:tcBorders>
            <w:hideMark/>
          </w:tcPr>
          <w:p w14:paraId="74C29567" w14:textId="77777777" w:rsidR="003A6A51" w:rsidRPr="00D71342" w:rsidRDefault="003A6A51" w:rsidP="00950981">
            <w:pPr>
              <w:widowControl w:val="0"/>
              <w:autoSpaceDE w:val="0"/>
              <w:autoSpaceDN w:val="0"/>
              <w:ind w:left="30" w:right="-108"/>
              <w:jc w:val="center"/>
              <w:rPr>
                <w:sz w:val="14"/>
                <w:lang w:val="en-US"/>
              </w:rPr>
            </w:pPr>
            <w:r w:rsidRPr="00D71342">
              <w:rPr>
                <w:sz w:val="14"/>
                <w:lang w:val="en-US"/>
              </w:rPr>
              <w:t>( TITLE-ABS-KEY ( "Enviropreneurship" ) OR TITLE-ABS-KEY ( "Green entrepreneurship" ) AND TITLE-ABS-KEY ( ( Concept* ) OR ( Theor* ) OR ( Characteri* ) ) ) AND PUBYEAR &gt; 2020 AND PUBYEAR &lt; 2026 AND ( LIMIT-TO ( SUBJAREA , "BUSI" ) OR LIMIT-TO ( SUBJAREA , "ECON" ) OR LIMIT-TO ( SUBJAREA , "ENGI" ) OR LIMIT-TO ( SUBJAREA , "DECI" ) ) AND ( LIMIT-TO ( DOCTYPE , "ar" ) OR LIMIT-TO ( DOCTYPE , "re" ) OR LIMIT-TO ( DOCTYPE , "cp" ) ) AND ( LIMIT-TO ( PUBSTAGE , "final" ) ) AND ( LIMIT-TO ( LANGUAGE , "English" ) OR LIMIT-TO ( LANGUAGE , "Spanish" ) )</w:t>
            </w:r>
          </w:p>
        </w:tc>
      </w:tr>
      <w:tr w:rsidR="00D71342" w:rsidRPr="00D71342" w14:paraId="4942CF92" w14:textId="77777777" w:rsidTr="00950981">
        <w:trPr>
          <w:trHeight w:val="494"/>
        </w:trPr>
        <w:tc>
          <w:tcPr>
            <w:tcW w:w="708" w:type="dxa"/>
            <w:tcBorders>
              <w:top w:val="single" w:sz="4" w:space="0" w:color="auto"/>
            </w:tcBorders>
            <w:shd w:val="clear" w:color="auto" w:fill="BFBFBF" w:themeFill="background1" w:themeFillShade="BF"/>
            <w:noWrap/>
            <w:vAlign w:val="center"/>
          </w:tcPr>
          <w:p w14:paraId="2A902E65" w14:textId="77777777" w:rsidR="003A6A51" w:rsidRPr="00D71342" w:rsidRDefault="003A6A51" w:rsidP="00950981">
            <w:pPr>
              <w:widowControl w:val="0"/>
              <w:autoSpaceDE w:val="0"/>
              <w:autoSpaceDN w:val="0"/>
              <w:ind w:left="-143" w:right="-108"/>
              <w:jc w:val="center"/>
              <w:rPr>
                <w:sz w:val="14"/>
              </w:rPr>
            </w:pPr>
            <w:r w:rsidRPr="00D71342">
              <w:rPr>
                <w:sz w:val="14"/>
              </w:rPr>
              <w:t>WoS</w:t>
            </w:r>
          </w:p>
        </w:tc>
        <w:tc>
          <w:tcPr>
            <w:tcW w:w="3969" w:type="dxa"/>
            <w:tcBorders>
              <w:top w:val="single" w:sz="4" w:space="0" w:color="auto"/>
            </w:tcBorders>
            <w:shd w:val="clear" w:color="auto" w:fill="BFBFBF" w:themeFill="background1" w:themeFillShade="BF"/>
          </w:tcPr>
          <w:p w14:paraId="7850A7D0" w14:textId="77777777" w:rsidR="003A6A51" w:rsidRPr="00D71342" w:rsidRDefault="003A6A51" w:rsidP="00950981">
            <w:pPr>
              <w:widowControl w:val="0"/>
              <w:autoSpaceDE w:val="0"/>
              <w:autoSpaceDN w:val="0"/>
              <w:ind w:left="30" w:right="-108"/>
              <w:jc w:val="center"/>
              <w:rPr>
                <w:sz w:val="14"/>
                <w:lang w:val="en-US"/>
              </w:rPr>
            </w:pPr>
            <w:r w:rsidRPr="00D71342">
              <w:rPr>
                <w:sz w:val="14"/>
                <w:lang w:val="en-US"/>
              </w:rPr>
              <w:t>"Enviropreneurship" (Topic) or "Green entrepreneurship" (Topic) and ( Concept* ) OR ( Theor* ) OR ( Characteri* ) (Topic) and 2025 or 2024 or 2023 or 2022 or 2021 (Publication Years) and Article or Review Article (Document Types) and English or Spanish (Languages) and Business Economics or Engineering or Operations Research Management Science (Research Areas)</w:t>
            </w:r>
          </w:p>
        </w:tc>
      </w:tr>
    </w:tbl>
    <w:p w14:paraId="3C22C296" w14:textId="77777777" w:rsidR="003A6A51" w:rsidRPr="00D71342" w:rsidRDefault="003A6A51" w:rsidP="0069238C">
      <w:pPr>
        <w:ind w:left="426" w:right="711"/>
        <w:rPr>
          <w:sz w:val="14"/>
        </w:rPr>
      </w:pPr>
      <w:r w:rsidRPr="00D71342">
        <w:rPr>
          <w:sz w:val="14"/>
        </w:rPr>
        <w:t>Fuente:</w:t>
      </w:r>
      <w:r w:rsidRPr="00D71342">
        <w:rPr>
          <w:spacing w:val="-4"/>
          <w:sz w:val="14"/>
        </w:rPr>
        <w:t xml:space="preserve"> </w:t>
      </w:r>
      <w:r w:rsidRPr="00D71342">
        <w:rPr>
          <w:sz w:val="14"/>
        </w:rPr>
        <w:t>Elaboración</w:t>
      </w:r>
      <w:r w:rsidRPr="00D71342">
        <w:rPr>
          <w:spacing w:val="-3"/>
          <w:sz w:val="14"/>
        </w:rPr>
        <w:t xml:space="preserve"> </w:t>
      </w:r>
      <w:r w:rsidRPr="00D71342">
        <w:rPr>
          <w:sz w:val="14"/>
        </w:rPr>
        <w:t>propia.</w:t>
      </w:r>
    </w:p>
    <w:p w14:paraId="2BAFA785" w14:textId="011D2415" w:rsidR="003A6A51" w:rsidRPr="00D71342" w:rsidRDefault="003A6A51" w:rsidP="0026341B">
      <w:pPr>
        <w:pStyle w:val="Textoindependiente"/>
        <w:spacing w:before="158" w:line="259" w:lineRule="auto"/>
        <w:ind w:left="357" w:right="711"/>
        <w:jc w:val="both"/>
      </w:pPr>
      <w:r w:rsidRPr="00D71342">
        <w:t xml:space="preserve">Ejecutando lo anterior, se detectaron 88 resultados en Scopus y 123 resultados en Web of Science (WoS), pertenecientes al periodo comprendido entre los años 2021 y 2025. El análisis se llevó a cabo, por medio de secciones </w:t>
      </w:r>
      <w:r w:rsidR="00CF60C2" w:rsidRPr="00D71342">
        <w:t>específicas</w:t>
      </w:r>
      <w:r w:rsidRPr="00D71342">
        <w:t>:</w:t>
      </w:r>
    </w:p>
    <w:p w14:paraId="55FDF7AB" w14:textId="77777777" w:rsidR="00CF60C2" w:rsidRPr="00D71342" w:rsidRDefault="00CF60C2" w:rsidP="0026341B">
      <w:pPr>
        <w:pStyle w:val="Textoindependiente"/>
        <w:spacing w:before="158" w:line="259" w:lineRule="auto"/>
        <w:ind w:left="357" w:right="636"/>
        <w:jc w:val="both"/>
        <w:rPr>
          <w:i/>
        </w:rPr>
      </w:pPr>
    </w:p>
    <w:p w14:paraId="33EF3148" w14:textId="723092FA" w:rsidR="003A6A51" w:rsidRPr="00D71342" w:rsidRDefault="003A6A51" w:rsidP="00CF60C2">
      <w:pPr>
        <w:pStyle w:val="Textoindependiente"/>
        <w:spacing w:before="158" w:line="259" w:lineRule="auto"/>
        <w:ind w:left="357" w:right="38"/>
        <w:jc w:val="both"/>
        <w:rPr>
          <w:i/>
        </w:rPr>
      </w:pPr>
      <w:r w:rsidRPr="00D71342">
        <w:rPr>
          <w:i/>
        </w:rPr>
        <w:lastRenderedPageBreak/>
        <w:t>Análisis</w:t>
      </w:r>
      <w:r w:rsidRPr="00D71342">
        <w:rPr>
          <w:i/>
          <w:spacing w:val="-9"/>
        </w:rPr>
        <w:t xml:space="preserve"> </w:t>
      </w:r>
      <w:r w:rsidRPr="00D71342">
        <w:rPr>
          <w:i/>
        </w:rPr>
        <w:t>de Publicación por País</w:t>
      </w:r>
    </w:p>
    <w:p w14:paraId="6C6F6F8C" w14:textId="35D2AAA6" w:rsidR="003A6A51" w:rsidRPr="00D71342" w:rsidRDefault="003A6A51" w:rsidP="00CF60C2">
      <w:pPr>
        <w:pStyle w:val="Textoindependiente"/>
        <w:spacing w:before="158" w:line="259" w:lineRule="auto"/>
        <w:ind w:left="357" w:right="38"/>
        <w:jc w:val="both"/>
      </w:pPr>
      <w:r w:rsidRPr="00D71342">
        <w:t>En esta sección se clasificó la literatura en orden descendente, en función de la cantidad de participaciones en publicaciones por país. En la figura 2, de acuerdo con Scopus, lideran esta lista China con 1</w:t>
      </w:r>
      <w:r w:rsidR="006E692E" w:rsidRPr="00D71342">
        <w:t>6</w:t>
      </w:r>
      <w:r w:rsidRPr="00D71342">
        <w:t xml:space="preserve"> participaciones, Malasia con 14 e India con 11 respectivamente; cabe destacar que existe una diferencia significativa respecto a los demás países del listado con 5; y para finalizar Arabia Saudita, Estados Unidos, Sudáfrica y Vietnam con 4. Desde la perspectiva sudamericana, se encontró a Perú, Colombia y Ecuador con 1 participación cada uno; lo anterior demuestra que la temática no es tendencia regional.</w:t>
      </w:r>
    </w:p>
    <w:p w14:paraId="17B6594D" w14:textId="34577A98" w:rsidR="003A6A51" w:rsidRPr="00D71342" w:rsidRDefault="003A6A51" w:rsidP="00CF60C2">
      <w:pPr>
        <w:pStyle w:val="Textoindependiente"/>
        <w:spacing w:before="158" w:line="259" w:lineRule="auto"/>
        <w:ind w:left="357" w:right="38"/>
        <w:jc w:val="center"/>
        <w:rPr>
          <w:b/>
          <w:bCs/>
        </w:rPr>
      </w:pPr>
      <w:r w:rsidRPr="00D71342">
        <w:rPr>
          <w:b/>
          <w:bCs/>
        </w:rPr>
        <w:t>Figura</w:t>
      </w:r>
      <w:r w:rsidRPr="00D71342">
        <w:rPr>
          <w:b/>
          <w:bCs/>
          <w:spacing w:val="-4"/>
        </w:rPr>
        <w:t xml:space="preserve"> </w:t>
      </w:r>
      <w:r w:rsidRPr="00D71342">
        <w:rPr>
          <w:b/>
          <w:bCs/>
        </w:rPr>
        <w:t>2.</w:t>
      </w:r>
      <w:r w:rsidRPr="00D71342">
        <w:rPr>
          <w:b/>
          <w:bCs/>
          <w:spacing w:val="-3"/>
        </w:rPr>
        <w:t xml:space="preserve"> </w:t>
      </w:r>
      <w:r w:rsidRPr="00D71342">
        <w:rPr>
          <w:b/>
          <w:bCs/>
        </w:rPr>
        <w:t>Participaciones en publicaciones por país de la base de datos de Scopus.</w:t>
      </w:r>
    </w:p>
    <w:p w14:paraId="0ED91F78" w14:textId="3BFEEACC" w:rsidR="003A6A51" w:rsidRPr="00D71342" w:rsidRDefault="003A6A51" w:rsidP="0069238C">
      <w:pPr>
        <w:pStyle w:val="Textoindependiente"/>
        <w:spacing w:before="158" w:line="259" w:lineRule="auto"/>
        <w:ind w:left="357" w:right="38"/>
        <w:rPr>
          <w:sz w:val="14"/>
          <w:lang w:val="es-CO"/>
        </w:rPr>
      </w:pPr>
      <w:r w:rsidRPr="00D71342">
        <w:rPr>
          <w:noProof/>
          <w:lang w:val="es-CO" w:eastAsia="es-CO"/>
        </w:rPr>
        <w:drawing>
          <wp:inline distT="0" distB="0" distL="0" distR="0" wp14:anchorId="25BE20AA" wp14:editId="132FF94F">
            <wp:extent cx="3060000" cy="1980000"/>
            <wp:effectExtent l="0" t="0" r="26670" b="20320"/>
            <wp:docPr id="851171540" name="Gráfico 851171540">
              <a:extLst xmlns:a="http://schemas.openxmlformats.org/drawingml/2006/main">
                <a:ext uri="{FF2B5EF4-FFF2-40B4-BE49-F238E27FC236}">
                  <a16:creationId xmlns:a16="http://schemas.microsoft.com/office/drawing/2014/main" id="{09A06E91-2337-4AFA-A745-038C3548106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D71342">
        <w:rPr>
          <w:sz w:val="14"/>
          <w:lang w:val="es-CO"/>
        </w:rPr>
        <w:t>Nota. Gráfico modificado en VOSviewer. Tomado de la base de datos de Scopus, enero 2026.</w:t>
      </w:r>
    </w:p>
    <w:p w14:paraId="210A21D5" w14:textId="7FF697BB" w:rsidR="003A6A51" w:rsidRPr="00D71342" w:rsidRDefault="003A6A51" w:rsidP="0069238C">
      <w:pPr>
        <w:pStyle w:val="Textoindependiente"/>
        <w:spacing w:before="158" w:line="259" w:lineRule="auto"/>
        <w:ind w:left="357" w:right="38"/>
        <w:jc w:val="both"/>
      </w:pPr>
      <w:r w:rsidRPr="00D71342">
        <w:t>Según la información extraída de WoS, en la figura 3 encabeza la lista la República Popular China (China) con 34 participaciones; esto indica que hay una considerable disparidad sobre las otras naciones. Le preceden Pakistán con 13 participaciones, Malasia con 12, India con 11, Arabia Saudita con 8; e Inglaterra, Indonesia, Italia, Turquía y Estados Unidos con 7. En Sudamérica, se halló a Chile, Colombia y Ecuador con 1 participación respectivamente; lo anterior claramente establece que este tópico no es una inclinación regional.</w:t>
      </w:r>
    </w:p>
    <w:p w14:paraId="5ACAF673" w14:textId="35956E6E" w:rsidR="003A6A51" w:rsidRPr="00D71342" w:rsidRDefault="003A6A51" w:rsidP="00CF60C2">
      <w:pPr>
        <w:pStyle w:val="Textoindependiente"/>
        <w:spacing w:before="158" w:line="259" w:lineRule="auto"/>
        <w:ind w:left="357" w:right="38"/>
        <w:jc w:val="center"/>
        <w:rPr>
          <w:b/>
          <w:bCs/>
        </w:rPr>
      </w:pPr>
      <w:r w:rsidRPr="00D71342">
        <w:rPr>
          <w:b/>
          <w:bCs/>
        </w:rPr>
        <w:t>Figura</w:t>
      </w:r>
      <w:r w:rsidRPr="00D71342">
        <w:rPr>
          <w:b/>
          <w:bCs/>
          <w:spacing w:val="-4"/>
        </w:rPr>
        <w:t xml:space="preserve"> </w:t>
      </w:r>
      <w:r w:rsidRPr="00D71342">
        <w:rPr>
          <w:b/>
          <w:bCs/>
        </w:rPr>
        <w:t>3.</w:t>
      </w:r>
      <w:r w:rsidRPr="00D71342">
        <w:rPr>
          <w:b/>
          <w:bCs/>
          <w:spacing w:val="-3"/>
        </w:rPr>
        <w:t xml:space="preserve"> </w:t>
      </w:r>
      <w:r w:rsidRPr="00D71342">
        <w:rPr>
          <w:b/>
          <w:bCs/>
        </w:rPr>
        <w:t>Participaciones en publicaciones por país de la base de datos de WoS.</w:t>
      </w:r>
    </w:p>
    <w:p w14:paraId="4E2A9B2B" w14:textId="77777777" w:rsidR="003A6A51" w:rsidRPr="00D71342" w:rsidRDefault="003A6A51" w:rsidP="0069238C">
      <w:pPr>
        <w:pStyle w:val="Textoindependiente"/>
        <w:spacing w:before="158" w:line="259" w:lineRule="auto"/>
        <w:ind w:left="357" w:right="38"/>
        <w:rPr>
          <w:sz w:val="14"/>
          <w:lang w:val="es-CO"/>
        </w:rPr>
      </w:pPr>
      <w:r w:rsidRPr="00D71342">
        <w:rPr>
          <w:noProof/>
          <w:lang w:val="es-CO" w:eastAsia="es-CO"/>
        </w:rPr>
        <w:drawing>
          <wp:inline distT="0" distB="0" distL="0" distR="0" wp14:anchorId="40515691" wp14:editId="7966FD4C">
            <wp:extent cx="3060000" cy="1980000"/>
            <wp:effectExtent l="0" t="0" r="26670" b="20320"/>
            <wp:docPr id="660948280" name="Gráfico 660948280">
              <a:extLst xmlns:a="http://schemas.openxmlformats.org/drawingml/2006/main">
                <a:ext uri="{FF2B5EF4-FFF2-40B4-BE49-F238E27FC236}">
                  <a16:creationId xmlns:a16="http://schemas.microsoft.com/office/drawing/2014/main" id="{2EFEB728-6B37-4E8D-8DF5-558A77760B1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Pr="00D71342">
        <w:rPr>
          <w:sz w:val="14"/>
          <w:lang w:val="es-CO"/>
        </w:rPr>
        <w:t>Nota. Gráfico modificado en VOSviewer. Tomado de la base de datos de WoS, enero 2026.</w:t>
      </w:r>
    </w:p>
    <w:p w14:paraId="28018E07" w14:textId="4935821F" w:rsidR="003A6A51" w:rsidRPr="00D71342" w:rsidRDefault="003A6A51" w:rsidP="00CF60C2">
      <w:pPr>
        <w:pStyle w:val="Textoindependiente"/>
        <w:spacing w:before="158" w:line="259" w:lineRule="auto"/>
        <w:ind w:left="357" w:right="38"/>
        <w:rPr>
          <w:sz w:val="14"/>
          <w:lang w:val="es-CO"/>
        </w:rPr>
      </w:pPr>
      <w:r w:rsidRPr="00D71342">
        <w:rPr>
          <w:i/>
        </w:rPr>
        <w:t>Análisis</w:t>
      </w:r>
      <w:r w:rsidRPr="00D71342">
        <w:rPr>
          <w:i/>
          <w:spacing w:val="-9"/>
        </w:rPr>
        <w:t xml:space="preserve"> </w:t>
      </w:r>
      <w:r w:rsidRPr="00D71342">
        <w:rPr>
          <w:i/>
        </w:rPr>
        <w:t>de Publicación por Año</w:t>
      </w:r>
    </w:p>
    <w:p w14:paraId="5AB3703B" w14:textId="77777777" w:rsidR="003A6A51" w:rsidRPr="00D71342" w:rsidRDefault="003A6A51" w:rsidP="003A6A51">
      <w:pPr>
        <w:pStyle w:val="Textoindependiente"/>
        <w:spacing w:before="158" w:line="259" w:lineRule="auto"/>
        <w:ind w:left="357" w:right="711"/>
        <w:jc w:val="both"/>
      </w:pPr>
      <w:r w:rsidRPr="00D71342">
        <w:t>Se realizó un análisis de publicaciones por año durante el período de 2021 a 2025, la data encontrada en ambas bases de datos evidencia un crecimiento semejante al exponencial en el acumulado del desarrollo de la literatura científica para este tópico. Las figuras 4 y 5 muestran esta tendencia, donde cada barra representa las publicaciones anuales y la línea el acumulado de publicaciones durante este lapso de tiempo. En Scopus, observamos dos puntos de inflexión (2022 y 2025) ya que se pasó de 7 publicaciones en 2021 a 13 publicaciones en 2022, y de 20 publicaciones en 2024 a 30 publicaciones en 2025; a diferencia de entre 2022 a 2023, que se pasó de 13 publicaciones a 18 publicaciones, y de 18 publicaciones en 2023 a 20 publicaciones en 2024.</w:t>
      </w:r>
    </w:p>
    <w:p w14:paraId="377598B3" w14:textId="2E668FC6" w:rsidR="003A6A51" w:rsidRPr="00D71342" w:rsidRDefault="003A6A51" w:rsidP="003A6A51">
      <w:pPr>
        <w:pStyle w:val="Textoindependiente"/>
        <w:spacing w:before="158" w:line="259" w:lineRule="auto"/>
        <w:ind w:left="357" w:right="711"/>
        <w:jc w:val="center"/>
        <w:rPr>
          <w:b/>
          <w:bCs/>
        </w:rPr>
      </w:pPr>
      <w:r w:rsidRPr="00D71342">
        <w:rPr>
          <w:b/>
          <w:bCs/>
        </w:rPr>
        <w:t>Figura</w:t>
      </w:r>
      <w:r w:rsidRPr="00D71342">
        <w:rPr>
          <w:b/>
          <w:bCs/>
          <w:spacing w:val="-4"/>
        </w:rPr>
        <w:t xml:space="preserve"> </w:t>
      </w:r>
      <w:r w:rsidRPr="00D71342">
        <w:rPr>
          <w:b/>
          <w:bCs/>
        </w:rPr>
        <w:t>4.</w:t>
      </w:r>
      <w:r w:rsidRPr="00D71342">
        <w:rPr>
          <w:b/>
          <w:bCs/>
          <w:spacing w:val="-3"/>
        </w:rPr>
        <w:t xml:space="preserve"> </w:t>
      </w:r>
      <w:r w:rsidRPr="00D71342">
        <w:rPr>
          <w:b/>
          <w:bCs/>
        </w:rPr>
        <w:t>Publicaciones por año de la base de datos de Scopus.</w:t>
      </w:r>
    </w:p>
    <w:p w14:paraId="77C43C49" w14:textId="4BA245F4" w:rsidR="003A6A51" w:rsidRPr="00D71342" w:rsidRDefault="003A6A51" w:rsidP="00941A53">
      <w:pPr>
        <w:pStyle w:val="Textoindependiente"/>
        <w:spacing w:before="158" w:line="259" w:lineRule="auto"/>
        <w:ind w:left="357" w:right="711"/>
        <w:rPr>
          <w:b/>
          <w:bCs/>
        </w:rPr>
      </w:pPr>
      <w:r w:rsidRPr="00D71342">
        <w:rPr>
          <w:noProof/>
          <w:lang w:val="es-CO" w:eastAsia="es-CO"/>
        </w:rPr>
        <w:drawing>
          <wp:inline distT="0" distB="0" distL="0" distR="0" wp14:anchorId="6860D39B" wp14:editId="3323A0AD">
            <wp:extent cx="3060000" cy="1980000"/>
            <wp:effectExtent l="0" t="0" r="26670" b="20320"/>
            <wp:docPr id="1094457277" name="Gráfico 1094457277">
              <a:extLst xmlns:a="http://schemas.openxmlformats.org/drawingml/2006/main">
                <a:ext uri="{FF2B5EF4-FFF2-40B4-BE49-F238E27FC236}">
                  <a16:creationId xmlns:a16="http://schemas.microsoft.com/office/drawing/2014/main" id="{07DB91B8-AA1C-4B72-85BF-1445B81DBF7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Pr="00D71342">
        <w:rPr>
          <w:sz w:val="14"/>
          <w:lang w:val="es-CO"/>
        </w:rPr>
        <w:t>Nota. Gráfico modificado en VOSviewer. Tomado de la base de datos de Scopus, enero 2026.</w:t>
      </w:r>
    </w:p>
    <w:p w14:paraId="3F947972" w14:textId="77777777" w:rsidR="003A6A51" w:rsidRPr="00D71342" w:rsidRDefault="003A6A51" w:rsidP="005B3937">
      <w:pPr>
        <w:pStyle w:val="Textoindependiente"/>
        <w:spacing w:before="158" w:line="259" w:lineRule="auto"/>
        <w:ind w:left="357" w:right="711"/>
        <w:jc w:val="both"/>
      </w:pPr>
      <w:r w:rsidRPr="00D71342">
        <w:t>Conforme a la información de WoS, se identificó un único punto de inflexión (2024) puesto que se pasó de 24 publicaciones en 2023 a 36 publicaciones en 2024; en cambio los demás períodos como 2021 a 2022 se pasó de 14 publicaciones a 18 publicaciones, y de 2024 a 2025 de 36 publicaciones a 31 publicaciones.</w:t>
      </w:r>
    </w:p>
    <w:p w14:paraId="510495BA" w14:textId="1F088366" w:rsidR="003A6A51" w:rsidRPr="00D71342" w:rsidRDefault="003A6A51" w:rsidP="003A6A51">
      <w:pPr>
        <w:pStyle w:val="Textoindependiente"/>
        <w:spacing w:before="158" w:line="259" w:lineRule="auto"/>
        <w:ind w:left="357" w:right="711"/>
        <w:jc w:val="center"/>
        <w:rPr>
          <w:b/>
          <w:bCs/>
        </w:rPr>
      </w:pPr>
      <w:r w:rsidRPr="00D71342">
        <w:rPr>
          <w:b/>
          <w:bCs/>
        </w:rPr>
        <w:t>Figura</w:t>
      </w:r>
      <w:r w:rsidRPr="00D71342">
        <w:rPr>
          <w:b/>
          <w:bCs/>
          <w:spacing w:val="-4"/>
        </w:rPr>
        <w:t xml:space="preserve"> </w:t>
      </w:r>
      <w:r w:rsidRPr="00D71342">
        <w:rPr>
          <w:b/>
          <w:bCs/>
        </w:rPr>
        <w:t>5.</w:t>
      </w:r>
      <w:r w:rsidRPr="00D71342">
        <w:rPr>
          <w:b/>
          <w:bCs/>
          <w:spacing w:val="-3"/>
        </w:rPr>
        <w:t xml:space="preserve"> </w:t>
      </w:r>
      <w:r w:rsidRPr="00D71342">
        <w:rPr>
          <w:b/>
          <w:bCs/>
        </w:rPr>
        <w:t>Publicaciones por año de la base de datos de WoS.</w:t>
      </w:r>
    </w:p>
    <w:p w14:paraId="362A9467" w14:textId="0DD98549" w:rsidR="003A6A51" w:rsidRPr="00D71342" w:rsidRDefault="003A6A51" w:rsidP="00941A53">
      <w:pPr>
        <w:pStyle w:val="Textoindependiente"/>
        <w:spacing w:before="158" w:line="259" w:lineRule="auto"/>
        <w:ind w:left="357" w:right="711"/>
        <w:rPr>
          <w:sz w:val="14"/>
          <w:lang w:val="es-CO"/>
        </w:rPr>
      </w:pPr>
      <w:r w:rsidRPr="00D71342">
        <w:rPr>
          <w:noProof/>
          <w:lang w:val="es-CO" w:eastAsia="es-CO"/>
        </w:rPr>
        <w:drawing>
          <wp:inline distT="0" distB="0" distL="0" distR="0" wp14:anchorId="3D91CCC8" wp14:editId="06A48E07">
            <wp:extent cx="3060000" cy="1980000"/>
            <wp:effectExtent l="0" t="0" r="26670" b="20320"/>
            <wp:docPr id="1080329510" name="Gráfico 1080329510">
              <a:extLst xmlns:a="http://schemas.openxmlformats.org/drawingml/2006/main">
                <a:ext uri="{FF2B5EF4-FFF2-40B4-BE49-F238E27FC236}">
                  <a16:creationId xmlns:a16="http://schemas.microsoft.com/office/drawing/2014/main" id="{FC3E7EC8-1381-4C93-B1E2-6C980D7B361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Pr="00D71342">
        <w:rPr>
          <w:sz w:val="14"/>
          <w:lang w:val="es-CO"/>
        </w:rPr>
        <w:t>Nota. Gráfico modificado en VOSviewer. Tomado de la base de datos de WoS, enero 2026.</w:t>
      </w:r>
    </w:p>
    <w:p w14:paraId="11EC8B03" w14:textId="77777777" w:rsidR="00C34B70" w:rsidRPr="00D71342" w:rsidRDefault="00C34B70" w:rsidP="003A6A51">
      <w:pPr>
        <w:pStyle w:val="Textoindependiente"/>
        <w:spacing w:before="158" w:line="259" w:lineRule="auto"/>
        <w:ind w:left="357" w:right="711"/>
        <w:jc w:val="center"/>
      </w:pPr>
    </w:p>
    <w:p w14:paraId="599D9674" w14:textId="4E17E301" w:rsidR="00715602" w:rsidRDefault="00715602" w:rsidP="003A6A51">
      <w:pPr>
        <w:pStyle w:val="Textoindependiente"/>
        <w:spacing w:before="158" w:line="259" w:lineRule="auto"/>
        <w:ind w:left="357" w:right="711"/>
        <w:jc w:val="center"/>
      </w:pPr>
    </w:p>
    <w:p w14:paraId="056C7EA0" w14:textId="77777777" w:rsidR="00E507EC" w:rsidRPr="00D71342" w:rsidRDefault="00E507EC" w:rsidP="003A6A51">
      <w:pPr>
        <w:pStyle w:val="Textoindependiente"/>
        <w:spacing w:before="158" w:line="259" w:lineRule="auto"/>
        <w:ind w:left="357" w:right="711"/>
        <w:jc w:val="center"/>
      </w:pPr>
    </w:p>
    <w:p w14:paraId="2626B59F" w14:textId="64466ED7" w:rsidR="003A6A51" w:rsidRPr="00D71342" w:rsidRDefault="003A6A51" w:rsidP="0069238C">
      <w:pPr>
        <w:pStyle w:val="Textoindependiente"/>
        <w:spacing w:before="158" w:line="259" w:lineRule="auto"/>
        <w:ind w:left="357" w:right="38"/>
        <w:rPr>
          <w:i/>
        </w:rPr>
      </w:pPr>
      <w:r w:rsidRPr="00D71342">
        <w:rPr>
          <w:i/>
        </w:rPr>
        <w:lastRenderedPageBreak/>
        <w:t>Análisis</w:t>
      </w:r>
      <w:r w:rsidRPr="00D71342">
        <w:rPr>
          <w:i/>
          <w:spacing w:val="-9"/>
        </w:rPr>
        <w:t xml:space="preserve"> </w:t>
      </w:r>
      <w:r w:rsidRPr="00D71342">
        <w:rPr>
          <w:i/>
        </w:rPr>
        <w:t>de Publicación por Autor</w:t>
      </w:r>
    </w:p>
    <w:p w14:paraId="14B4AA86" w14:textId="77777777" w:rsidR="00CD1C51" w:rsidRPr="00D71342" w:rsidRDefault="003A6A51" w:rsidP="00CD1C51">
      <w:pPr>
        <w:pStyle w:val="Textoindependiente"/>
        <w:spacing w:before="158" w:line="259" w:lineRule="auto"/>
        <w:ind w:left="357" w:right="38"/>
        <w:jc w:val="both"/>
      </w:pPr>
      <w:r w:rsidRPr="00D71342">
        <w:t>Este análisis mediante la herramienta de VOSviewer logró visualizar con mayor lucidez a los autores más importantes en la investigación sobre el emprendimiento verde. Se estableció para ambas bases de datos como crite</w:t>
      </w:r>
      <w:r w:rsidR="0069238C" w:rsidRPr="00D71342">
        <w:t xml:space="preserve">rios mínimos, 1 documento y por </w:t>
      </w:r>
      <w:r w:rsidRPr="00D71342">
        <w:t>lo menos 50 citaciones. Con estos parámetros se consiguió detectar en Scopus y WoS, 21 y 17 autores sobresalientes respectivamente, para el periodo previamente definido. Las tablas 2 y 3 presenta</w:t>
      </w:r>
      <w:r w:rsidR="006E692E" w:rsidRPr="00D71342">
        <w:t xml:space="preserve">n </w:t>
      </w:r>
      <w:r w:rsidRPr="00D71342">
        <w:t xml:space="preserve">los 10 autores más citados para cada base de datos en la </w:t>
      </w:r>
      <w:r w:rsidR="0069238C" w:rsidRPr="00D71342">
        <w:t>temática, Emprendimiento Verde.</w:t>
      </w:r>
    </w:p>
    <w:p w14:paraId="4F82D11A" w14:textId="77777777" w:rsidR="005B3937" w:rsidRPr="00D71342" w:rsidRDefault="0069238C" w:rsidP="005B3937">
      <w:pPr>
        <w:pStyle w:val="Textoindependiente"/>
        <w:spacing w:before="158" w:line="259" w:lineRule="auto"/>
        <w:ind w:left="357" w:right="38"/>
        <w:jc w:val="both"/>
      </w:pPr>
      <w:r w:rsidRPr="00D71342">
        <w:rPr>
          <w:i/>
        </w:rPr>
        <w:t>Análisis</w:t>
      </w:r>
      <w:r w:rsidRPr="00D71342">
        <w:rPr>
          <w:i/>
          <w:spacing w:val="-9"/>
        </w:rPr>
        <w:t xml:space="preserve"> </w:t>
      </w:r>
      <w:r w:rsidRPr="00D71342">
        <w:rPr>
          <w:i/>
        </w:rPr>
        <w:t>de Palabras Clave</w:t>
      </w:r>
    </w:p>
    <w:p w14:paraId="316804DC" w14:textId="77777777" w:rsidR="005B3937" w:rsidRPr="00D71342" w:rsidRDefault="0069238C" w:rsidP="005B3937">
      <w:pPr>
        <w:pStyle w:val="Textoindependiente"/>
        <w:spacing w:before="158" w:line="259" w:lineRule="auto"/>
        <w:ind w:left="357" w:right="38"/>
        <w:jc w:val="both"/>
      </w:pPr>
      <w:r w:rsidRPr="00D71342">
        <w:t>El presente estudio se re</w:t>
      </w:r>
      <w:r w:rsidR="00CD1C51" w:rsidRPr="00D71342">
        <w:t>alizó mediante la función de co-</w:t>
      </w:r>
      <w:r w:rsidRPr="00D71342">
        <w:t xml:space="preserve">ocurrencia de todas las palabras </w:t>
      </w:r>
      <w:r w:rsidR="005B3937" w:rsidRPr="00D71342">
        <w:t>clave (tanto indexadas como del</w:t>
      </w:r>
    </w:p>
    <w:p w14:paraId="657418CB" w14:textId="0EC06AB9" w:rsidR="0069238C" w:rsidRPr="00D71342" w:rsidRDefault="005B3937" w:rsidP="005B3937">
      <w:pPr>
        <w:pStyle w:val="Textoindependiente"/>
        <w:spacing w:before="158" w:line="259" w:lineRule="auto"/>
        <w:ind w:left="357" w:right="711"/>
        <w:jc w:val="both"/>
      </w:pPr>
      <w:r w:rsidRPr="00D71342">
        <w:t xml:space="preserve">autor) de </w:t>
      </w:r>
      <w:r w:rsidR="0069238C" w:rsidRPr="00D71342">
        <w:t xml:space="preserve">VOSViewer, empleando la data suministrada por las bases de datos de Scopus y WoS. Luego, se fijó como criterio mínimo 2 apariciones para una palabra clave. Lo anterior mostró que en Scopus de un total de 511 términos, se identificaron 87 términos trascendentes; entre estos aparecen con mayor frecuencia “green entrepreneurship” (42), “sustainable development” (19), “green entrepreneurial orientation” (14), “entrepreneur” (12), </w:t>
      </w:r>
      <w:r w:rsidRPr="00D71342">
        <w:t>“green economy” y “sustainability” (11), “innovation” (10), “green innovation” (9), y “entrepreneurship” y “sustainable entrepreneurship” (8). La figura 6 muestra el análisis de red entre el “green entrepreneurship” y los tópicos relacionados en Scopus.</w:t>
      </w:r>
    </w:p>
    <w:p w14:paraId="280875EC" w14:textId="77777777" w:rsidR="00CD1C51" w:rsidRPr="00D71342" w:rsidRDefault="00CD1C51" w:rsidP="0069238C">
      <w:pPr>
        <w:pStyle w:val="Ttulo3"/>
        <w:spacing w:before="159"/>
        <w:ind w:left="1078"/>
      </w:pPr>
    </w:p>
    <w:p w14:paraId="67A0AEAE" w14:textId="77777777" w:rsidR="00CD1C51" w:rsidRPr="00D71342" w:rsidRDefault="00CD1C51" w:rsidP="0069238C">
      <w:pPr>
        <w:pStyle w:val="Ttulo3"/>
        <w:spacing w:before="159"/>
        <w:ind w:left="1078"/>
      </w:pPr>
    </w:p>
    <w:p w14:paraId="1A5A4226" w14:textId="77777777" w:rsidR="00CD1C51" w:rsidRPr="00D71342" w:rsidRDefault="00CD1C51" w:rsidP="0069238C">
      <w:pPr>
        <w:pStyle w:val="Ttulo3"/>
        <w:spacing w:before="159"/>
        <w:ind w:left="1078"/>
        <w:sectPr w:rsidR="00CD1C51" w:rsidRPr="00D71342">
          <w:type w:val="continuous"/>
          <w:pgSz w:w="12240" w:h="15840"/>
          <w:pgMar w:top="1000" w:right="360" w:bottom="1200" w:left="720" w:header="0" w:footer="1000" w:gutter="0"/>
          <w:cols w:num="2" w:space="720" w:equalWidth="0">
            <w:col w:w="5208" w:space="71"/>
            <w:col w:w="5881"/>
          </w:cols>
        </w:sectPr>
      </w:pPr>
    </w:p>
    <w:p w14:paraId="2A662841" w14:textId="65033C26" w:rsidR="003A6A51" w:rsidRPr="00D71342" w:rsidRDefault="003A6A51" w:rsidP="005B3937">
      <w:pPr>
        <w:pStyle w:val="Ttulo3"/>
        <w:spacing w:after="240"/>
        <w:ind w:left="1078"/>
        <w:jc w:val="center"/>
      </w:pPr>
      <w:r w:rsidRPr="00D71342">
        <w:t>Tabla</w:t>
      </w:r>
      <w:r w:rsidRPr="00D71342">
        <w:rPr>
          <w:spacing w:val="-5"/>
        </w:rPr>
        <w:t xml:space="preserve"> </w:t>
      </w:r>
      <w:r w:rsidRPr="00D71342">
        <w:t>2.</w:t>
      </w:r>
      <w:r w:rsidRPr="00D71342">
        <w:rPr>
          <w:spacing w:val="-6"/>
        </w:rPr>
        <w:t xml:space="preserve"> Autores más citados de la base de datos de Scopus</w:t>
      </w:r>
      <w:r w:rsidRPr="00D71342">
        <w:t>.</w:t>
      </w:r>
    </w:p>
    <w:tbl>
      <w:tblPr>
        <w:tblW w:w="9922" w:type="dxa"/>
        <w:tblInd w:w="496" w:type="dxa"/>
        <w:tblCellMar>
          <w:left w:w="70" w:type="dxa"/>
          <w:right w:w="70" w:type="dxa"/>
        </w:tblCellMar>
        <w:tblLook w:val="04A0" w:firstRow="1" w:lastRow="0" w:firstColumn="1" w:lastColumn="0" w:noHBand="0" w:noVBand="1"/>
      </w:tblPr>
      <w:tblGrid>
        <w:gridCol w:w="444"/>
        <w:gridCol w:w="2040"/>
        <w:gridCol w:w="3489"/>
        <w:gridCol w:w="1842"/>
        <w:gridCol w:w="2107"/>
      </w:tblGrid>
      <w:tr w:rsidR="00D71342" w:rsidRPr="00D71342" w14:paraId="244FC9AD" w14:textId="77777777" w:rsidTr="00A667CB">
        <w:trPr>
          <w:trHeight w:val="170"/>
        </w:trPr>
        <w:tc>
          <w:tcPr>
            <w:tcW w:w="444" w:type="dxa"/>
            <w:tcBorders>
              <w:top w:val="nil"/>
              <w:left w:val="nil"/>
              <w:bottom w:val="single" w:sz="4" w:space="0" w:color="auto"/>
              <w:right w:val="nil"/>
            </w:tcBorders>
            <w:noWrap/>
            <w:vAlign w:val="center"/>
            <w:hideMark/>
          </w:tcPr>
          <w:p w14:paraId="2C23126B" w14:textId="5B85E2E9" w:rsidR="003A6A51" w:rsidRPr="00D71342" w:rsidRDefault="003A6A51" w:rsidP="00A667CB">
            <w:pPr>
              <w:ind w:firstLine="2"/>
              <w:jc w:val="center"/>
              <w:rPr>
                <w:kern w:val="2"/>
                <w:sz w:val="14"/>
                <w:szCs w:val="14"/>
                <w14:ligatures w14:val="standardContextual"/>
              </w:rPr>
            </w:pPr>
            <w:bookmarkStart w:id="0" w:name="_Hlk234759408"/>
          </w:p>
        </w:tc>
        <w:tc>
          <w:tcPr>
            <w:tcW w:w="2040" w:type="dxa"/>
            <w:tcBorders>
              <w:top w:val="single" w:sz="4" w:space="0" w:color="auto"/>
              <w:left w:val="nil"/>
              <w:bottom w:val="single" w:sz="4" w:space="0" w:color="auto"/>
              <w:right w:val="nil"/>
            </w:tcBorders>
            <w:noWrap/>
            <w:vAlign w:val="center"/>
            <w:hideMark/>
          </w:tcPr>
          <w:p w14:paraId="58864D50" w14:textId="1852DD6C" w:rsidR="003A6A51" w:rsidRPr="00D71342" w:rsidRDefault="003A6A51" w:rsidP="00A667CB">
            <w:pPr>
              <w:ind w:left="53" w:right="146" w:firstLine="2"/>
              <w:jc w:val="center"/>
              <w:rPr>
                <w:b/>
                <w:kern w:val="2"/>
                <w:sz w:val="14"/>
                <w:szCs w:val="14"/>
                <w14:ligatures w14:val="standardContextual"/>
              </w:rPr>
            </w:pPr>
            <w:r w:rsidRPr="00D71342">
              <w:rPr>
                <w:b/>
                <w:kern w:val="2"/>
                <w:sz w:val="14"/>
                <w:szCs w:val="14"/>
                <w14:ligatures w14:val="standardContextual"/>
              </w:rPr>
              <w:t>Autor</w:t>
            </w:r>
          </w:p>
        </w:tc>
        <w:tc>
          <w:tcPr>
            <w:tcW w:w="3489" w:type="dxa"/>
            <w:tcBorders>
              <w:top w:val="single" w:sz="4" w:space="0" w:color="auto"/>
              <w:left w:val="nil"/>
              <w:bottom w:val="single" w:sz="4" w:space="0" w:color="auto"/>
              <w:right w:val="nil"/>
            </w:tcBorders>
            <w:noWrap/>
            <w:vAlign w:val="center"/>
            <w:hideMark/>
          </w:tcPr>
          <w:p w14:paraId="3350E9FA" w14:textId="77777777" w:rsidR="003A6A51" w:rsidRPr="00D71342" w:rsidRDefault="003A6A51" w:rsidP="00A667CB">
            <w:pPr>
              <w:ind w:left="139" w:right="92" w:firstLine="2"/>
              <w:jc w:val="center"/>
              <w:rPr>
                <w:b/>
                <w:kern w:val="2"/>
                <w:sz w:val="14"/>
                <w:szCs w:val="14"/>
                <w14:ligatures w14:val="standardContextual"/>
              </w:rPr>
            </w:pPr>
            <w:r w:rsidRPr="00D71342">
              <w:rPr>
                <w:b/>
                <w:kern w:val="2"/>
                <w:sz w:val="14"/>
                <w:szCs w:val="14"/>
                <w14:ligatures w14:val="standardContextual"/>
              </w:rPr>
              <w:t>Ocupación</w:t>
            </w:r>
          </w:p>
        </w:tc>
        <w:tc>
          <w:tcPr>
            <w:tcW w:w="1842" w:type="dxa"/>
            <w:tcBorders>
              <w:top w:val="single" w:sz="4" w:space="0" w:color="auto"/>
              <w:left w:val="nil"/>
              <w:bottom w:val="single" w:sz="4" w:space="0" w:color="auto"/>
              <w:right w:val="nil"/>
            </w:tcBorders>
            <w:noWrap/>
            <w:vAlign w:val="center"/>
            <w:hideMark/>
          </w:tcPr>
          <w:p w14:paraId="422CF596" w14:textId="77777777" w:rsidR="003A6A51" w:rsidRPr="00D71342" w:rsidRDefault="003A6A51" w:rsidP="00A667CB">
            <w:pPr>
              <w:ind w:left="52" w:right="91" w:firstLine="2"/>
              <w:jc w:val="center"/>
              <w:rPr>
                <w:b/>
                <w:kern w:val="2"/>
                <w:sz w:val="14"/>
                <w:szCs w:val="14"/>
                <w14:ligatures w14:val="standardContextual"/>
              </w:rPr>
            </w:pPr>
            <w:r w:rsidRPr="00D71342">
              <w:rPr>
                <w:b/>
                <w:kern w:val="2"/>
                <w:sz w:val="14"/>
                <w:szCs w:val="14"/>
                <w14:ligatures w14:val="standardContextual"/>
              </w:rPr>
              <w:t>Documentos</w:t>
            </w:r>
          </w:p>
        </w:tc>
        <w:tc>
          <w:tcPr>
            <w:tcW w:w="2107" w:type="dxa"/>
            <w:tcBorders>
              <w:top w:val="single" w:sz="4" w:space="0" w:color="auto"/>
              <w:left w:val="nil"/>
              <w:bottom w:val="single" w:sz="4" w:space="0" w:color="auto"/>
              <w:right w:val="nil"/>
            </w:tcBorders>
            <w:noWrap/>
            <w:vAlign w:val="center"/>
            <w:hideMark/>
          </w:tcPr>
          <w:p w14:paraId="51D64632" w14:textId="77777777" w:rsidR="003A6A51" w:rsidRPr="00D71342" w:rsidRDefault="003A6A51" w:rsidP="00A667CB">
            <w:pPr>
              <w:ind w:left="53" w:right="72" w:firstLine="2"/>
              <w:jc w:val="center"/>
              <w:rPr>
                <w:b/>
                <w:kern w:val="2"/>
                <w:sz w:val="14"/>
                <w:szCs w:val="14"/>
                <w14:ligatures w14:val="standardContextual"/>
              </w:rPr>
            </w:pPr>
            <w:r w:rsidRPr="00D71342">
              <w:rPr>
                <w:b/>
                <w:kern w:val="2"/>
                <w:sz w:val="14"/>
                <w:szCs w:val="14"/>
                <w14:ligatures w14:val="standardContextual"/>
              </w:rPr>
              <w:t>Citaciones</w:t>
            </w:r>
          </w:p>
        </w:tc>
      </w:tr>
      <w:bookmarkEnd w:id="0"/>
      <w:tr w:rsidR="00D71342" w:rsidRPr="00D71342" w14:paraId="41FBF5FD" w14:textId="77777777" w:rsidTr="00A667CB">
        <w:trPr>
          <w:trHeight w:val="54"/>
        </w:trPr>
        <w:tc>
          <w:tcPr>
            <w:tcW w:w="444" w:type="dxa"/>
            <w:tcBorders>
              <w:top w:val="nil"/>
              <w:left w:val="nil"/>
              <w:bottom w:val="nil"/>
              <w:right w:val="nil"/>
            </w:tcBorders>
            <w:shd w:val="clear" w:color="000000" w:fill="D9D9D9"/>
            <w:noWrap/>
            <w:vAlign w:val="center"/>
            <w:hideMark/>
          </w:tcPr>
          <w:p w14:paraId="23F8BFB3" w14:textId="77777777" w:rsidR="003A6A51" w:rsidRPr="00D71342" w:rsidRDefault="003A6A51" w:rsidP="00A667CB">
            <w:pPr>
              <w:ind w:firstLine="2"/>
              <w:jc w:val="center"/>
              <w:rPr>
                <w:kern w:val="2"/>
                <w:sz w:val="14"/>
                <w:szCs w:val="14"/>
                <w14:ligatures w14:val="standardContextual"/>
              </w:rPr>
            </w:pPr>
            <w:r w:rsidRPr="00D71342">
              <w:rPr>
                <w:kern w:val="2"/>
                <w:sz w:val="14"/>
                <w:szCs w:val="14"/>
                <w14:ligatures w14:val="standardContextual"/>
              </w:rPr>
              <w:t>1</w:t>
            </w:r>
          </w:p>
        </w:tc>
        <w:tc>
          <w:tcPr>
            <w:tcW w:w="2040" w:type="dxa"/>
            <w:tcBorders>
              <w:top w:val="nil"/>
              <w:left w:val="nil"/>
              <w:bottom w:val="nil"/>
              <w:right w:val="nil"/>
            </w:tcBorders>
            <w:shd w:val="clear" w:color="000000" w:fill="D9D9D9"/>
            <w:noWrap/>
            <w:vAlign w:val="center"/>
            <w:hideMark/>
          </w:tcPr>
          <w:p w14:paraId="18DF054E" w14:textId="77777777" w:rsidR="003A6A51" w:rsidRPr="00D71342" w:rsidRDefault="003A6A51" w:rsidP="00A667CB">
            <w:pPr>
              <w:ind w:left="53" w:right="146" w:firstLine="2"/>
              <w:rPr>
                <w:kern w:val="2"/>
                <w:sz w:val="14"/>
                <w:szCs w:val="14"/>
                <w14:ligatures w14:val="standardContextual"/>
              </w:rPr>
            </w:pPr>
            <w:r w:rsidRPr="00D71342">
              <w:rPr>
                <w:kern w:val="2"/>
                <w:sz w:val="14"/>
                <w:szCs w:val="14"/>
                <w14:ligatures w14:val="standardContextual"/>
              </w:rPr>
              <w:t>Makhloufi, Lahcene</w:t>
            </w:r>
          </w:p>
        </w:tc>
        <w:tc>
          <w:tcPr>
            <w:tcW w:w="3489" w:type="dxa"/>
            <w:tcBorders>
              <w:top w:val="nil"/>
              <w:left w:val="nil"/>
              <w:bottom w:val="nil"/>
              <w:right w:val="nil"/>
            </w:tcBorders>
            <w:shd w:val="clear" w:color="000000" w:fill="D9D9D9"/>
            <w:vAlign w:val="center"/>
            <w:hideMark/>
          </w:tcPr>
          <w:p w14:paraId="3EDB3B8E" w14:textId="77777777" w:rsidR="003A6A51" w:rsidRPr="00D71342" w:rsidRDefault="003A6A51" w:rsidP="00A667CB">
            <w:pPr>
              <w:ind w:left="139" w:right="92" w:firstLine="2"/>
              <w:rPr>
                <w:kern w:val="2"/>
                <w:sz w:val="14"/>
                <w:szCs w:val="14"/>
                <w14:ligatures w14:val="standardContextual"/>
              </w:rPr>
            </w:pPr>
            <w:r w:rsidRPr="00D71342">
              <w:rPr>
                <w:kern w:val="2"/>
                <w:sz w:val="14"/>
                <w:szCs w:val="14"/>
                <w14:ligatures w14:val="standardContextual"/>
              </w:rPr>
              <w:t>Profesor titular en la Escuela de Administración de la Universidad de Mae Fah Luang</w:t>
            </w:r>
          </w:p>
        </w:tc>
        <w:tc>
          <w:tcPr>
            <w:tcW w:w="1842" w:type="dxa"/>
            <w:tcBorders>
              <w:top w:val="nil"/>
              <w:left w:val="nil"/>
              <w:bottom w:val="nil"/>
              <w:right w:val="nil"/>
            </w:tcBorders>
            <w:shd w:val="clear" w:color="000000" w:fill="D9D9D9"/>
            <w:noWrap/>
            <w:vAlign w:val="center"/>
            <w:hideMark/>
          </w:tcPr>
          <w:p w14:paraId="7B889597" w14:textId="77777777" w:rsidR="003A6A51" w:rsidRPr="00D71342" w:rsidRDefault="003A6A51" w:rsidP="00A667CB">
            <w:pPr>
              <w:ind w:left="52" w:right="91" w:firstLine="2"/>
              <w:jc w:val="center"/>
              <w:rPr>
                <w:kern w:val="2"/>
                <w:sz w:val="14"/>
                <w:szCs w:val="14"/>
                <w14:ligatures w14:val="standardContextual"/>
              </w:rPr>
            </w:pPr>
            <w:r w:rsidRPr="00D71342">
              <w:rPr>
                <w:kern w:val="2"/>
                <w:sz w:val="14"/>
                <w:szCs w:val="14"/>
                <w14:ligatures w14:val="standardContextual"/>
              </w:rPr>
              <w:t>2</w:t>
            </w:r>
          </w:p>
        </w:tc>
        <w:tc>
          <w:tcPr>
            <w:tcW w:w="2107" w:type="dxa"/>
            <w:tcBorders>
              <w:top w:val="nil"/>
              <w:left w:val="nil"/>
              <w:bottom w:val="nil"/>
              <w:right w:val="nil"/>
            </w:tcBorders>
            <w:shd w:val="clear" w:color="000000" w:fill="D9D9D9"/>
            <w:noWrap/>
            <w:vAlign w:val="center"/>
            <w:hideMark/>
          </w:tcPr>
          <w:p w14:paraId="41DFCE59" w14:textId="77777777" w:rsidR="003A6A51" w:rsidRPr="00D71342" w:rsidRDefault="003A6A51" w:rsidP="00A667CB">
            <w:pPr>
              <w:ind w:left="53" w:right="72" w:firstLine="2"/>
              <w:jc w:val="center"/>
              <w:rPr>
                <w:kern w:val="2"/>
                <w:sz w:val="14"/>
                <w:szCs w:val="14"/>
                <w14:ligatures w14:val="standardContextual"/>
              </w:rPr>
            </w:pPr>
            <w:r w:rsidRPr="00D71342">
              <w:rPr>
                <w:kern w:val="2"/>
                <w:sz w:val="14"/>
                <w:szCs w:val="14"/>
                <w14:ligatures w14:val="standardContextual"/>
              </w:rPr>
              <w:t>273</w:t>
            </w:r>
          </w:p>
        </w:tc>
      </w:tr>
      <w:tr w:rsidR="00D71342" w:rsidRPr="00D71342" w14:paraId="51199162" w14:textId="77777777" w:rsidTr="00A667CB">
        <w:trPr>
          <w:trHeight w:val="64"/>
        </w:trPr>
        <w:tc>
          <w:tcPr>
            <w:tcW w:w="444" w:type="dxa"/>
            <w:tcBorders>
              <w:top w:val="nil"/>
              <w:left w:val="nil"/>
              <w:bottom w:val="nil"/>
              <w:right w:val="nil"/>
            </w:tcBorders>
            <w:noWrap/>
            <w:vAlign w:val="center"/>
            <w:hideMark/>
          </w:tcPr>
          <w:p w14:paraId="7A18B396" w14:textId="77777777" w:rsidR="003A6A51" w:rsidRPr="00D71342" w:rsidRDefault="003A6A51" w:rsidP="00A667CB">
            <w:pPr>
              <w:ind w:firstLine="2"/>
              <w:jc w:val="center"/>
              <w:rPr>
                <w:kern w:val="2"/>
                <w:sz w:val="14"/>
                <w:szCs w:val="14"/>
                <w14:ligatures w14:val="standardContextual"/>
              </w:rPr>
            </w:pPr>
            <w:r w:rsidRPr="00D71342">
              <w:rPr>
                <w:kern w:val="2"/>
                <w:sz w:val="14"/>
                <w:szCs w:val="14"/>
                <w14:ligatures w14:val="standardContextual"/>
              </w:rPr>
              <w:t>2</w:t>
            </w:r>
          </w:p>
        </w:tc>
        <w:tc>
          <w:tcPr>
            <w:tcW w:w="2040" w:type="dxa"/>
            <w:tcBorders>
              <w:top w:val="nil"/>
              <w:left w:val="nil"/>
              <w:bottom w:val="nil"/>
              <w:right w:val="nil"/>
            </w:tcBorders>
            <w:noWrap/>
            <w:vAlign w:val="center"/>
            <w:hideMark/>
          </w:tcPr>
          <w:p w14:paraId="20AE890A" w14:textId="77777777" w:rsidR="003A6A51" w:rsidRPr="00D71342" w:rsidRDefault="003A6A51" w:rsidP="00A667CB">
            <w:pPr>
              <w:ind w:left="53" w:right="146" w:firstLine="2"/>
              <w:rPr>
                <w:kern w:val="2"/>
                <w:sz w:val="14"/>
                <w:szCs w:val="14"/>
                <w14:ligatures w14:val="standardContextual"/>
              </w:rPr>
            </w:pPr>
            <w:r w:rsidRPr="00D71342">
              <w:rPr>
                <w:kern w:val="2"/>
                <w:sz w:val="14"/>
                <w:szCs w:val="14"/>
                <w14:ligatures w14:val="standardContextual"/>
              </w:rPr>
              <w:t>Laghouag, Abderrazak Ahmed</w:t>
            </w:r>
          </w:p>
        </w:tc>
        <w:tc>
          <w:tcPr>
            <w:tcW w:w="3489" w:type="dxa"/>
            <w:tcBorders>
              <w:top w:val="nil"/>
              <w:left w:val="nil"/>
              <w:bottom w:val="nil"/>
              <w:right w:val="nil"/>
            </w:tcBorders>
            <w:vAlign w:val="center"/>
            <w:hideMark/>
          </w:tcPr>
          <w:p w14:paraId="62CC0EBC" w14:textId="77777777" w:rsidR="003A6A51" w:rsidRPr="00D71342" w:rsidRDefault="003A6A51" w:rsidP="00A667CB">
            <w:pPr>
              <w:ind w:left="139" w:right="92" w:firstLine="2"/>
              <w:rPr>
                <w:kern w:val="2"/>
                <w:sz w:val="14"/>
                <w:szCs w:val="14"/>
                <w14:ligatures w14:val="standardContextual"/>
              </w:rPr>
            </w:pPr>
            <w:r w:rsidRPr="00D71342">
              <w:rPr>
                <w:kern w:val="2"/>
                <w:sz w:val="14"/>
                <w:szCs w:val="14"/>
                <w14:ligatures w14:val="standardContextual"/>
              </w:rPr>
              <w:t>Investigador asociado al Centro de Estudios e Investigación del Petróleo Rey Abdullah</w:t>
            </w:r>
          </w:p>
        </w:tc>
        <w:tc>
          <w:tcPr>
            <w:tcW w:w="1842" w:type="dxa"/>
            <w:tcBorders>
              <w:top w:val="nil"/>
              <w:left w:val="nil"/>
              <w:bottom w:val="nil"/>
              <w:right w:val="nil"/>
            </w:tcBorders>
            <w:noWrap/>
            <w:vAlign w:val="center"/>
            <w:hideMark/>
          </w:tcPr>
          <w:p w14:paraId="495E34C9" w14:textId="77777777" w:rsidR="003A6A51" w:rsidRPr="00D71342" w:rsidRDefault="003A6A51" w:rsidP="00A667CB">
            <w:pPr>
              <w:ind w:left="52" w:right="91" w:firstLine="2"/>
              <w:jc w:val="center"/>
              <w:rPr>
                <w:kern w:val="2"/>
                <w:sz w:val="14"/>
                <w:szCs w:val="14"/>
                <w14:ligatures w14:val="standardContextual"/>
              </w:rPr>
            </w:pPr>
            <w:r w:rsidRPr="00D71342">
              <w:rPr>
                <w:kern w:val="2"/>
                <w:sz w:val="14"/>
                <w:szCs w:val="14"/>
                <w14:ligatures w14:val="standardContextual"/>
              </w:rPr>
              <w:t>1</w:t>
            </w:r>
          </w:p>
        </w:tc>
        <w:tc>
          <w:tcPr>
            <w:tcW w:w="2107" w:type="dxa"/>
            <w:tcBorders>
              <w:top w:val="nil"/>
              <w:left w:val="nil"/>
              <w:bottom w:val="nil"/>
              <w:right w:val="nil"/>
            </w:tcBorders>
            <w:noWrap/>
            <w:vAlign w:val="center"/>
            <w:hideMark/>
          </w:tcPr>
          <w:p w14:paraId="3E1BF1D7" w14:textId="77777777" w:rsidR="003A6A51" w:rsidRPr="00D71342" w:rsidRDefault="003A6A51" w:rsidP="00A667CB">
            <w:pPr>
              <w:ind w:left="53" w:right="72" w:firstLine="2"/>
              <w:jc w:val="center"/>
              <w:rPr>
                <w:kern w:val="2"/>
                <w:sz w:val="14"/>
                <w:szCs w:val="14"/>
                <w14:ligatures w14:val="standardContextual"/>
              </w:rPr>
            </w:pPr>
            <w:r w:rsidRPr="00D71342">
              <w:rPr>
                <w:kern w:val="2"/>
                <w:sz w:val="14"/>
                <w:szCs w:val="14"/>
                <w14:ligatures w14:val="standardContextual"/>
              </w:rPr>
              <w:t>244</w:t>
            </w:r>
          </w:p>
        </w:tc>
      </w:tr>
      <w:tr w:rsidR="00D71342" w:rsidRPr="00D71342" w14:paraId="4E8651FF" w14:textId="77777777" w:rsidTr="00A667CB">
        <w:trPr>
          <w:trHeight w:val="64"/>
        </w:trPr>
        <w:tc>
          <w:tcPr>
            <w:tcW w:w="444" w:type="dxa"/>
            <w:tcBorders>
              <w:top w:val="nil"/>
              <w:left w:val="nil"/>
              <w:bottom w:val="nil"/>
              <w:right w:val="nil"/>
            </w:tcBorders>
            <w:shd w:val="clear" w:color="000000" w:fill="D9D9D9"/>
            <w:noWrap/>
            <w:vAlign w:val="center"/>
            <w:hideMark/>
          </w:tcPr>
          <w:p w14:paraId="5CEB32FE" w14:textId="77777777" w:rsidR="003A6A51" w:rsidRPr="00D71342" w:rsidRDefault="003A6A51" w:rsidP="00A667CB">
            <w:pPr>
              <w:ind w:firstLine="2"/>
              <w:jc w:val="center"/>
              <w:rPr>
                <w:kern w:val="2"/>
                <w:sz w:val="14"/>
                <w:szCs w:val="14"/>
                <w14:ligatures w14:val="standardContextual"/>
              </w:rPr>
            </w:pPr>
            <w:r w:rsidRPr="00D71342">
              <w:rPr>
                <w:kern w:val="2"/>
                <w:sz w:val="14"/>
                <w:szCs w:val="14"/>
                <w14:ligatures w14:val="standardContextual"/>
              </w:rPr>
              <w:t>3</w:t>
            </w:r>
          </w:p>
        </w:tc>
        <w:tc>
          <w:tcPr>
            <w:tcW w:w="2040" w:type="dxa"/>
            <w:tcBorders>
              <w:top w:val="nil"/>
              <w:left w:val="nil"/>
              <w:bottom w:val="nil"/>
              <w:right w:val="nil"/>
            </w:tcBorders>
            <w:shd w:val="clear" w:color="000000" w:fill="D9D9D9"/>
            <w:noWrap/>
            <w:vAlign w:val="center"/>
            <w:hideMark/>
          </w:tcPr>
          <w:p w14:paraId="461024AC" w14:textId="77777777" w:rsidR="003A6A51" w:rsidRPr="00D71342" w:rsidRDefault="003A6A51" w:rsidP="00A667CB">
            <w:pPr>
              <w:ind w:left="53" w:right="146" w:firstLine="2"/>
              <w:rPr>
                <w:kern w:val="2"/>
                <w:sz w:val="14"/>
                <w:szCs w:val="14"/>
                <w14:ligatures w14:val="standardContextual"/>
              </w:rPr>
            </w:pPr>
            <w:r w:rsidRPr="00D71342">
              <w:rPr>
                <w:kern w:val="2"/>
                <w:sz w:val="14"/>
                <w:szCs w:val="14"/>
                <w14:ligatures w14:val="standardContextual"/>
              </w:rPr>
              <w:t>Meirun, Tang</w:t>
            </w:r>
          </w:p>
        </w:tc>
        <w:tc>
          <w:tcPr>
            <w:tcW w:w="3489" w:type="dxa"/>
            <w:tcBorders>
              <w:top w:val="nil"/>
              <w:left w:val="nil"/>
              <w:bottom w:val="nil"/>
              <w:right w:val="nil"/>
            </w:tcBorders>
            <w:shd w:val="clear" w:color="000000" w:fill="D9D9D9"/>
            <w:vAlign w:val="center"/>
            <w:hideMark/>
          </w:tcPr>
          <w:p w14:paraId="745BB1A0" w14:textId="77777777" w:rsidR="003A6A51" w:rsidRPr="00D71342" w:rsidRDefault="003A6A51" w:rsidP="00A667CB">
            <w:pPr>
              <w:ind w:left="139" w:right="92" w:firstLine="2"/>
              <w:rPr>
                <w:kern w:val="2"/>
                <w:sz w:val="14"/>
                <w:szCs w:val="14"/>
                <w14:ligatures w14:val="standardContextual"/>
              </w:rPr>
            </w:pPr>
            <w:r w:rsidRPr="00D71342">
              <w:rPr>
                <w:kern w:val="2"/>
                <w:sz w:val="14"/>
                <w:szCs w:val="14"/>
                <w14:ligatures w14:val="standardContextual"/>
              </w:rPr>
              <w:t>Profesora asociada a la Escuela de Administración de la Universidad de Guizhou</w:t>
            </w:r>
          </w:p>
        </w:tc>
        <w:tc>
          <w:tcPr>
            <w:tcW w:w="1842" w:type="dxa"/>
            <w:tcBorders>
              <w:top w:val="nil"/>
              <w:left w:val="nil"/>
              <w:bottom w:val="nil"/>
              <w:right w:val="nil"/>
            </w:tcBorders>
            <w:shd w:val="clear" w:color="000000" w:fill="D9D9D9"/>
            <w:noWrap/>
            <w:vAlign w:val="center"/>
            <w:hideMark/>
          </w:tcPr>
          <w:p w14:paraId="7CBA2A7A" w14:textId="77777777" w:rsidR="003A6A51" w:rsidRPr="00D71342" w:rsidRDefault="003A6A51" w:rsidP="00A667CB">
            <w:pPr>
              <w:ind w:left="52" w:right="91" w:firstLine="2"/>
              <w:jc w:val="center"/>
              <w:rPr>
                <w:kern w:val="2"/>
                <w:sz w:val="14"/>
                <w:szCs w:val="14"/>
                <w14:ligatures w14:val="standardContextual"/>
              </w:rPr>
            </w:pPr>
            <w:r w:rsidRPr="00D71342">
              <w:rPr>
                <w:kern w:val="2"/>
                <w:sz w:val="14"/>
                <w:szCs w:val="14"/>
                <w14:ligatures w14:val="standardContextual"/>
              </w:rPr>
              <w:t>1</w:t>
            </w:r>
          </w:p>
        </w:tc>
        <w:tc>
          <w:tcPr>
            <w:tcW w:w="2107" w:type="dxa"/>
            <w:tcBorders>
              <w:top w:val="nil"/>
              <w:left w:val="nil"/>
              <w:bottom w:val="nil"/>
              <w:right w:val="nil"/>
            </w:tcBorders>
            <w:shd w:val="clear" w:color="000000" w:fill="D9D9D9"/>
            <w:noWrap/>
            <w:vAlign w:val="center"/>
            <w:hideMark/>
          </w:tcPr>
          <w:p w14:paraId="0CFC84FB" w14:textId="77777777" w:rsidR="003A6A51" w:rsidRPr="00D71342" w:rsidRDefault="003A6A51" w:rsidP="00A667CB">
            <w:pPr>
              <w:ind w:left="53" w:right="72" w:firstLine="2"/>
              <w:jc w:val="center"/>
              <w:rPr>
                <w:kern w:val="2"/>
                <w:sz w:val="14"/>
                <w:szCs w:val="14"/>
                <w14:ligatures w14:val="standardContextual"/>
              </w:rPr>
            </w:pPr>
            <w:r w:rsidRPr="00D71342">
              <w:rPr>
                <w:kern w:val="2"/>
                <w:sz w:val="14"/>
                <w:szCs w:val="14"/>
                <w14:ligatures w14:val="standardContextual"/>
              </w:rPr>
              <w:t>244</w:t>
            </w:r>
          </w:p>
        </w:tc>
      </w:tr>
      <w:tr w:rsidR="00D71342" w:rsidRPr="00D71342" w14:paraId="5AF3A83E" w14:textId="77777777" w:rsidTr="00A667CB">
        <w:trPr>
          <w:trHeight w:val="64"/>
        </w:trPr>
        <w:tc>
          <w:tcPr>
            <w:tcW w:w="444" w:type="dxa"/>
            <w:tcBorders>
              <w:top w:val="nil"/>
              <w:left w:val="nil"/>
              <w:bottom w:val="nil"/>
              <w:right w:val="nil"/>
            </w:tcBorders>
            <w:noWrap/>
            <w:vAlign w:val="center"/>
            <w:hideMark/>
          </w:tcPr>
          <w:p w14:paraId="1204820D" w14:textId="77777777" w:rsidR="003A6A51" w:rsidRPr="00D71342" w:rsidRDefault="003A6A51" w:rsidP="00A667CB">
            <w:pPr>
              <w:ind w:firstLine="2"/>
              <w:jc w:val="center"/>
              <w:rPr>
                <w:kern w:val="2"/>
                <w:sz w:val="14"/>
                <w:szCs w:val="14"/>
                <w14:ligatures w14:val="standardContextual"/>
              </w:rPr>
            </w:pPr>
            <w:r w:rsidRPr="00D71342">
              <w:rPr>
                <w:kern w:val="2"/>
                <w:sz w:val="14"/>
                <w:szCs w:val="14"/>
                <w14:ligatures w14:val="standardContextual"/>
              </w:rPr>
              <w:t>4</w:t>
            </w:r>
          </w:p>
        </w:tc>
        <w:tc>
          <w:tcPr>
            <w:tcW w:w="2040" w:type="dxa"/>
            <w:tcBorders>
              <w:top w:val="nil"/>
              <w:left w:val="nil"/>
              <w:bottom w:val="nil"/>
              <w:right w:val="nil"/>
            </w:tcBorders>
            <w:noWrap/>
            <w:vAlign w:val="center"/>
            <w:hideMark/>
          </w:tcPr>
          <w:p w14:paraId="51FDDB1A" w14:textId="77777777" w:rsidR="003A6A51" w:rsidRPr="00D71342" w:rsidRDefault="003A6A51" w:rsidP="00A667CB">
            <w:pPr>
              <w:ind w:left="53" w:right="146" w:firstLine="2"/>
              <w:rPr>
                <w:kern w:val="2"/>
                <w:sz w:val="14"/>
                <w:szCs w:val="14"/>
                <w14:ligatures w14:val="standardContextual"/>
              </w:rPr>
            </w:pPr>
            <w:r w:rsidRPr="00D71342">
              <w:rPr>
                <w:kern w:val="2"/>
                <w:sz w:val="14"/>
                <w:szCs w:val="14"/>
                <w14:ligatures w14:val="standardContextual"/>
              </w:rPr>
              <w:t>Bélaïd, Fateh</w:t>
            </w:r>
          </w:p>
        </w:tc>
        <w:tc>
          <w:tcPr>
            <w:tcW w:w="3489" w:type="dxa"/>
            <w:tcBorders>
              <w:top w:val="nil"/>
              <w:left w:val="nil"/>
              <w:bottom w:val="nil"/>
              <w:right w:val="nil"/>
            </w:tcBorders>
            <w:vAlign w:val="center"/>
            <w:hideMark/>
          </w:tcPr>
          <w:p w14:paraId="12CB5EFF" w14:textId="77777777" w:rsidR="003A6A51" w:rsidRPr="00D71342" w:rsidRDefault="003A6A51" w:rsidP="00A667CB">
            <w:pPr>
              <w:ind w:left="139" w:right="92" w:firstLine="2"/>
              <w:rPr>
                <w:kern w:val="2"/>
                <w:sz w:val="14"/>
                <w:szCs w:val="14"/>
                <w14:ligatures w14:val="standardContextual"/>
              </w:rPr>
            </w:pPr>
            <w:r w:rsidRPr="00D71342">
              <w:rPr>
                <w:kern w:val="2"/>
                <w:sz w:val="14"/>
                <w:szCs w:val="14"/>
                <w14:ligatures w14:val="standardContextual"/>
              </w:rPr>
              <w:t>Investigador asociado al Centro de Estudios e Investigación del Petróleo Rey Abdullah</w:t>
            </w:r>
          </w:p>
        </w:tc>
        <w:tc>
          <w:tcPr>
            <w:tcW w:w="1842" w:type="dxa"/>
            <w:tcBorders>
              <w:top w:val="nil"/>
              <w:left w:val="nil"/>
              <w:bottom w:val="nil"/>
              <w:right w:val="nil"/>
            </w:tcBorders>
            <w:noWrap/>
            <w:vAlign w:val="center"/>
            <w:hideMark/>
          </w:tcPr>
          <w:p w14:paraId="1F081B5B" w14:textId="77777777" w:rsidR="003A6A51" w:rsidRPr="00D71342" w:rsidRDefault="003A6A51" w:rsidP="00A667CB">
            <w:pPr>
              <w:ind w:left="52" w:right="91" w:firstLine="2"/>
              <w:jc w:val="center"/>
              <w:rPr>
                <w:kern w:val="2"/>
                <w:sz w:val="14"/>
                <w:szCs w:val="14"/>
                <w14:ligatures w14:val="standardContextual"/>
              </w:rPr>
            </w:pPr>
            <w:r w:rsidRPr="00D71342">
              <w:rPr>
                <w:kern w:val="2"/>
                <w:sz w:val="14"/>
                <w:szCs w:val="14"/>
                <w14:ligatures w14:val="standardContextual"/>
              </w:rPr>
              <w:t>1</w:t>
            </w:r>
          </w:p>
        </w:tc>
        <w:tc>
          <w:tcPr>
            <w:tcW w:w="2107" w:type="dxa"/>
            <w:tcBorders>
              <w:top w:val="nil"/>
              <w:left w:val="nil"/>
              <w:bottom w:val="nil"/>
              <w:right w:val="nil"/>
            </w:tcBorders>
            <w:noWrap/>
            <w:vAlign w:val="center"/>
            <w:hideMark/>
          </w:tcPr>
          <w:p w14:paraId="150E26D0" w14:textId="77777777" w:rsidR="003A6A51" w:rsidRPr="00D71342" w:rsidRDefault="003A6A51" w:rsidP="00A667CB">
            <w:pPr>
              <w:ind w:left="53" w:right="72" w:firstLine="2"/>
              <w:jc w:val="center"/>
              <w:rPr>
                <w:kern w:val="2"/>
                <w:sz w:val="14"/>
                <w:szCs w:val="14"/>
                <w14:ligatures w14:val="standardContextual"/>
              </w:rPr>
            </w:pPr>
            <w:r w:rsidRPr="00D71342">
              <w:rPr>
                <w:kern w:val="2"/>
                <w:sz w:val="14"/>
                <w:szCs w:val="14"/>
                <w14:ligatures w14:val="standardContextual"/>
              </w:rPr>
              <w:t>244</w:t>
            </w:r>
          </w:p>
        </w:tc>
      </w:tr>
      <w:tr w:rsidR="00D71342" w:rsidRPr="00D71342" w14:paraId="23390457" w14:textId="77777777" w:rsidTr="00A667CB">
        <w:trPr>
          <w:trHeight w:val="64"/>
        </w:trPr>
        <w:tc>
          <w:tcPr>
            <w:tcW w:w="444" w:type="dxa"/>
            <w:tcBorders>
              <w:top w:val="nil"/>
              <w:left w:val="nil"/>
              <w:bottom w:val="nil"/>
              <w:right w:val="nil"/>
            </w:tcBorders>
            <w:shd w:val="clear" w:color="000000" w:fill="D9D9D9"/>
            <w:noWrap/>
            <w:vAlign w:val="center"/>
            <w:hideMark/>
          </w:tcPr>
          <w:p w14:paraId="508A3295" w14:textId="77777777" w:rsidR="003A6A51" w:rsidRPr="00D71342" w:rsidRDefault="003A6A51" w:rsidP="00A667CB">
            <w:pPr>
              <w:ind w:firstLine="2"/>
              <w:jc w:val="center"/>
              <w:rPr>
                <w:kern w:val="2"/>
                <w:sz w:val="14"/>
                <w:szCs w:val="14"/>
                <w14:ligatures w14:val="standardContextual"/>
              </w:rPr>
            </w:pPr>
            <w:r w:rsidRPr="00D71342">
              <w:rPr>
                <w:kern w:val="2"/>
                <w:sz w:val="14"/>
                <w:szCs w:val="14"/>
                <w14:ligatures w14:val="standardContextual"/>
              </w:rPr>
              <w:t>5</w:t>
            </w:r>
          </w:p>
        </w:tc>
        <w:tc>
          <w:tcPr>
            <w:tcW w:w="2040" w:type="dxa"/>
            <w:tcBorders>
              <w:top w:val="nil"/>
              <w:left w:val="nil"/>
              <w:bottom w:val="nil"/>
              <w:right w:val="nil"/>
            </w:tcBorders>
            <w:shd w:val="clear" w:color="000000" w:fill="D9D9D9"/>
            <w:noWrap/>
            <w:vAlign w:val="center"/>
            <w:hideMark/>
          </w:tcPr>
          <w:p w14:paraId="60C352B9" w14:textId="77777777" w:rsidR="003A6A51" w:rsidRPr="00D71342" w:rsidRDefault="003A6A51" w:rsidP="00A667CB">
            <w:pPr>
              <w:ind w:left="53" w:right="146" w:firstLine="2"/>
              <w:rPr>
                <w:kern w:val="2"/>
                <w:sz w:val="14"/>
                <w:szCs w:val="14"/>
                <w14:ligatures w14:val="standardContextual"/>
              </w:rPr>
            </w:pPr>
            <w:r w:rsidRPr="00D71342">
              <w:rPr>
                <w:kern w:val="2"/>
                <w:sz w:val="14"/>
                <w:szCs w:val="14"/>
                <w14:ligatures w14:val="standardContextual"/>
              </w:rPr>
              <w:t>Mondal, Sourav</w:t>
            </w:r>
          </w:p>
        </w:tc>
        <w:tc>
          <w:tcPr>
            <w:tcW w:w="3489" w:type="dxa"/>
            <w:tcBorders>
              <w:top w:val="nil"/>
              <w:left w:val="nil"/>
              <w:bottom w:val="nil"/>
              <w:right w:val="nil"/>
            </w:tcBorders>
            <w:shd w:val="clear" w:color="000000" w:fill="D9D9D9"/>
            <w:vAlign w:val="center"/>
            <w:hideMark/>
          </w:tcPr>
          <w:p w14:paraId="40495FD2" w14:textId="77777777" w:rsidR="003A6A51" w:rsidRPr="00D71342" w:rsidRDefault="003A6A51" w:rsidP="00A667CB">
            <w:pPr>
              <w:ind w:left="139" w:right="92" w:firstLine="2"/>
              <w:rPr>
                <w:kern w:val="2"/>
                <w:sz w:val="14"/>
                <w:szCs w:val="14"/>
                <w14:ligatures w14:val="standardContextual"/>
              </w:rPr>
            </w:pPr>
            <w:r w:rsidRPr="00D71342">
              <w:rPr>
                <w:kern w:val="2"/>
                <w:sz w:val="14"/>
                <w:szCs w:val="14"/>
                <w14:ligatures w14:val="standardContextual"/>
              </w:rPr>
              <w:t>Investigador Senior en el Departamento de Estudios de Administración e Ingeniería Industrial del Instituto Indio de Tecnología</w:t>
            </w:r>
          </w:p>
        </w:tc>
        <w:tc>
          <w:tcPr>
            <w:tcW w:w="1842" w:type="dxa"/>
            <w:tcBorders>
              <w:top w:val="nil"/>
              <w:left w:val="nil"/>
              <w:bottom w:val="nil"/>
              <w:right w:val="nil"/>
            </w:tcBorders>
            <w:shd w:val="clear" w:color="000000" w:fill="D9D9D9"/>
            <w:noWrap/>
            <w:vAlign w:val="center"/>
            <w:hideMark/>
          </w:tcPr>
          <w:p w14:paraId="59EDC23F" w14:textId="77777777" w:rsidR="003A6A51" w:rsidRPr="00D71342" w:rsidRDefault="003A6A51" w:rsidP="00A667CB">
            <w:pPr>
              <w:ind w:left="52" w:right="91" w:firstLine="2"/>
              <w:jc w:val="center"/>
              <w:rPr>
                <w:kern w:val="2"/>
                <w:sz w:val="14"/>
                <w:szCs w:val="14"/>
                <w14:ligatures w14:val="standardContextual"/>
              </w:rPr>
            </w:pPr>
            <w:r w:rsidRPr="00D71342">
              <w:rPr>
                <w:kern w:val="2"/>
                <w:sz w:val="14"/>
                <w:szCs w:val="14"/>
                <w14:ligatures w14:val="standardContextual"/>
              </w:rPr>
              <w:t>4</w:t>
            </w:r>
          </w:p>
        </w:tc>
        <w:tc>
          <w:tcPr>
            <w:tcW w:w="2107" w:type="dxa"/>
            <w:tcBorders>
              <w:top w:val="nil"/>
              <w:left w:val="nil"/>
              <w:bottom w:val="nil"/>
              <w:right w:val="nil"/>
            </w:tcBorders>
            <w:shd w:val="clear" w:color="000000" w:fill="D9D9D9"/>
            <w:noWrap/>
            <w:vAlign w:val="center"/>
            <w:hideMark/>
          </w:tcPr>
          <w:p w14:paraId="1141C541" w14:textId="77777777" w:rsidR="003A6A51" w:rsidRPr="00D71342" w:rsidRDefault="003A6A51" w:rsidP="00A667CB">
            <w:pPr>
              <w:ind w:left="53" w:right="72" w:firstLine="2"/>
              <w:jc w:val="center"/>
              <w:rPr>
                <w:kern w:val="2"/>
                <w:sz w:val="14"/>
                <w:szCs w:val="14"/>
                <w14:ligatures w14:val="standardContextual"/>
              </w:rPr>
            </w:pPr>
            <w:r w:rsidRPr="00D71342">
              <w:rPr>
                <w:kern w:val="2"/>
                <w:sz w:val="14"/>
                <w:szCs w:val="14"/>
                <w14:ligatures w14:val="standardContextual"/>
              </w:rPr>
              <w:t>234</w:t>
            </w:r>
          </w:p>
        </w:tc>
      </w:tr>
      <w:tr w:rsidR="00D71342" w:rsidRPr="00D71342" w14:paraId="47EAE96C" w14:textId="77777777" w:rsidTr="00A667CB">
        <w:trPr>
          <w:trHeight w:val="64"/>
        </w:trPr>
        <w:tc>
          <w:tcPr>
            <w:tcW w:w="444" w:type="dxa"/>
            <w:tcBorders>
              <w:top w:val="nil"/>
              <w:left w:val="nil"/>
              <w:bottom w:val="nil"/>
              <w:right w:val="nil"/>
            </w:tcBorders>
            <w:noWrap/>
            <w:vAlign w:val="center"/>
          </w:tcPr>
          <w:p w14:paraId="5D683A25" w14:textId="153FE510" w:rsidR="003A6A51" w:rsidRPr="00D71342" w:rsidRDefault="003A6A51" w:rsidP="00A667CB">
            <w:pPr>
              <w:ind w:firstLine="2"/>
              <w:jc w:val="center"/>
              <w:rPr>
                <w:kern w:val="2"/>
                <w:sz w:val="14"/>
                <w:szCs w:val="14"/>
                <w14:ligatures w14:val="standardContextual"/>
              </w:rPr>
            </w:pPr>
            <w:r w:rsidRPr="00D71342">
              <w:rPr>
                <w:kern w:val="2"/>
                <w:sz w:val="14"/>
                <w:szCs w:val="14"/>
                <w14:ligatures w14:val="standardContextual"/>
              </w:rPr>
              <w:t>6</w:t>
            </w:r>
          </w:p>
        </w:tc>
        <w:tc>
          <w:tcPr>
            <w:tcW w:w="2040" w:type="dxa"/>
            <w:tcBorders>
              <w:top w:val="nil"/>
              <w:left w:val="nil"/>
              <w:bottom w:val="nil"/>
              <w:right w:val="nil"/>
            </w:tcBorders>
            <w:noWrap/>
            <w:vAlign w:val="center"/>
          </w:tcPr>
          <w:p w14:paraId="028B94A8" w14:textId="4F4347E4" w:rsidR="003A6A51" w:rsidRPr="00D71342" w:rsidRDefault="003A6A51" w:rsidP="00A667CB">
            <w:pPr>
              <w:ind w:left="53" w:right="146" w:firstLine="2"/>
              <w:rPr>
                <w:kern w:val="2"/>
                <w:sz w:val="14"/>
                <w:szCs w:val="14"/>
                <w14:ligatures w14:val="standardContextual"/>
              </w:rPr>
            </w:pPr>
            <w:r w:rsidRPr="00D71342">
              <w:rPr>
                <w:kern w:val="2"/>
                <w:sz w:val="14"/>
                <w:szCs w:val="14"/>
                <w14:ligatures w14:val="standardContextual"/>
              </w:rPr>
              <w:t>Singh, Saumya</w:t>
            </w:r>
          </w:p>
        </w:tc>
        <w:tc>
          <w:tcPr>
            <w:tcW w:w="3489" w:type="dxa"/>
            <w:tcBorders>
              <w:top w:val="nil"/>
              <w:left w:val="nil"/>
              <w:bottom w:val="nil"/>
              <w:right w:val="nil"/>
            </w:tcBorders>
            <w:vAlign w:val="center"/>
          </w:tcPr>
          <w:p w14:paraId="3FD2A422" w14:textId="6329CEB1" w:rsidR="003A6A51" w:rsidRPr="00D71342" w:rsidRDefault="003A6A51" w:rsidP="00A667CB">
            <w:pPr>
              <w:ind w:left="139" w:right="92" w:firstLine="2"/>
              <w:rPr>
                <w:kern w:val="2"/>
                <w:sz w:val="14"/>
                <w:szCs w:val="14"/>
                <w14:ligatures w14:val="standardContextual"/>
              </w:rPr>
            </w:pPr>
            <w:r w:rsidRPr="00D71342">
              <w:rPr>
                <w:kern w:val="2"/>
                <w:sz w:val="14"/>
                <w:szCs w:val="14"/>
                <w14:ligatures w14:val="standardContextual"/>
              </w:rPr>
              <w:t>Profesora asociada en el Departamento de Estudios de Administración e Ingeniería Industrial del Instituto Indio de Tecnología</w:t>
            </w:r>
          </w:p>
        </w:tc>
        <w:tc>
          <w:tcPr>
            <w:tcW w:w="1842" w:type="dxa"/>
            <w:tcBorders>
              <w:top w:val="nil"/>
              <w:left w:val="nil"/>
              <w:bottom w:val="nil"/>
              <w:right w:val="nil"/>
            </w:tcBorders>
            <w:noWrap/>
            <w:vAlign w:val="center"/>
          </w:tcPr>
          <w:p w14:paraId="0EEF818D" w14:textId="55EB4679" w:rsidR="003A6A51" w:rsidRPr="00D71342" w:rsidRDefault="003A6A51" w:rsidP="00A667CB">
            <w:pPr>
              <w:ind w:left="52" w:right="91" w:firstLine="2"/>
              <w:jc w:val="center"/>
              <w:rPr>
                <w:kern w:val="2"/>
                <w:sz w:val="14"/>
                <w:szCs w:val="14"/>
                <w14:ligatures w14:val="standardContextual"/>
              </w:rPr>
            </w:pPr>
            <w:r w:rsidRPr="00D71342">
              <w:rPr>
                <w:kern w:val="2"/>
                <w:sz w:val="14"/>
                <w:szCs w:val="14"/>
                <w14:ligatures w14:val="standardContextual"/>
              </w:rPr>
              <w:t>4</w:t>
            </w:r>
          </w:p>
        </w:tc>
        <w:tc>
          <w:tcPr>
            <w:tcW w:w="2107" w:type="dxa"/>
            <w:tcBorders>
              <w:top w:val="nil"/>
              <w:left w:val="nil"/>
              <w:bottom w:val="nil"/>
              <w:right w:val="nil"/>
            </w:tcBorders>
            <w:noWrap/>
            <w:vAlign w:val="center"/>
          </w:tcPr>
          <w:p w14:paraId="1549B67F" w14:textId="3DFB788F" w:rsidR="003A6A51" w:rsidRPr="00D71342" w:rsidRDefault="003A6A51" w:rsidP="00A667CB">
            <w:pPr>
              <w:ind w:left="53" w:right="72" w:firstLine="2"/>
              <w:jc w:val="center"/>
              <w:rPr>
                <w:kern w:val="2"/>
                <w:sz w:val="14"/>
                <w:szCs w:val="14"/>
                <w14:ligatures w14:val="standardContextual"/>
              </w:rPr>
            </w:pPr>
            <w:r w:rsidRPr="00D71342">
              <w:rPr>
                <w:kern w:val="2"/>
                <w:sz w:val="14"/>
                <w:szCs w:val="14"/>
                <w14:ligatures w14:val="standardContextual"/>
              </w:rPr>
              <w:t>234</w:t>
            </w:r>
          </w:p>
        </w:tc>
      </w:tr>
      <w:tr w:rsidR="00D71342" w:rsidRPr="00D71342" w14:paraId="20F67552" w14:textId="77777777" w:rsidTr="00A667CB">
        <w:trPr>
          <w:trHeight w:val="260"/>
        </w:trPr>
        <w:tc>
          <w:tcPr>
            <w:tcW w:w="444" w:type="dxa"/>
            <w:tcBorders>
              <w:top w:val="nil"/>
              <w:left w:val="nil"/>
              <w:bottom w:val="nil"/>
              <w:right w:val="nil"/>
            </w:tcBorders>
            <w:shd w:val="clear" w:color="000000" w:fill="D9D9D9"/>
            <w:noWrap/>
            <w:vAlign w:val="center"/>
            <w:hideMark/>
          </w:tcPr>
          <w:p w14:paraId="1A09B26C" w14:textId="64B9B681" w:rsidR="003A6A51" w:rsidRPr="00D71342" w:rsidRDefault="003A6A51" w:rsidP="00A667CB">
            <w:pPr>
              <w:ind w:firstLine="2"/>
              <w:jc w:val="center"/>
              <w:rPr>
                <w:kern w:val="2"/>
                <w:sz w:val="14"/>
                <w:szCs w:val="14"/>
                <w14:ligatures w14:val="standardContextual"/>
              </w:rPr>
            </w:pPr>
            <w:r w:rsidRPr="00D71342">
              <w:rPr>
                <w:kern w:val="2"/>
                <w:sz w:val="14"/>
                <w:szCs w:val="14"/>
                <w14:ligatures w14:val="standardContextual"/>
              </w:rPr>
              <w:t>7</w:t>
            </w:r>
          </w:p>
        </w:tc>
        <w:tc>
          <w:tcPr>
            <w:tcW w:w="2040" w:type="dxa"/>
            <w:tcBorders>
              <w:top w:val="nil"/>
              <w:left w:val="nil"/>
              <w:bottom w:val="nil"/>
              <w:right w:val="nil"/>
            </w:tcBorders>
            <w:shd w:val="clear" w:color="000000" w:fill="D9D9D9"/>
            <w:noWrap/>
            <w:vAlign w:val="center"/>
            <w:hideMark/>
          </w:tcPr>
          <w:p w14:paraId="010E9914" w14:textId="3B6C7DF0" w:rsidR="003A6A51" w:rsidRPr="00D71342" w:rsidRDefault="003A6A51" w:rsidP="00A667CB">
            <w:pPr>
              <w:ind w:left="53" w:right="146" w:firstLine="2"/>
              <w:rPr>
                <w:kern w:val="2"/>
                <w:sz w:val="14"/>
                <w:szCs w:val="14"/>
                <w14:ligatures w14:val="standardContextual"/>
              </w:rPr>
            </w:pPr>
            <w:r w:rsidRPr="00D71342">
              <w:rPr>
                <w:kern w:val="2"/>
                <w:sz w:val="14"/>
                <w:szCs w:val="14"/>
                <w14:ligatures w14:val="standardContextual"/>
              </w:rPr>
              <w:t>Gupta, Himanshu</w:t>
            </w:r>
          </w:p>
        </w:tc>
        <w:tc>
          <w:tcPr>
            <w:tcW w:w="3489" w:type="dxa"/>
            <w:tcBorders>
              <w:top w:val="nil"/>
              <w:left w:val="nil"/>
              <w:bottom w:val="nil"/>
              <w:right w:val="nil"/>
            </w:tcBorders>
            <w:shd w:val="clear" w:color="000000" w:fill="D9D9D9"/>
            <w:noWrap/>
            <w:vAlign w:val="center"/>
            <w:hideMark/>
          </w:tcPr>
          <w:p w14:paraId="28133E74" w14:textId="3D49FB99" w:rsidR="003A6A51" w:rsidRPr="00D71342" w:rsidRDefault="003A6A51" w:rsidP="00A667CB">
            <w:pPr>
              <w:ind w:left="139" w:right="92" w:firstLine="2"/>
              <w:rPr>
                <w:kern w:val="2"/>
                <w:sz w:val="14"/>
                <w:szCs w:val="14"/>
                <w14:ligatures w14:val="standardContextual"/>
              </w:rPr>
            </w:pPr>
            <w:r w:rsidRPr="00D71342">
              <w:rPr>
                <w:kern w:val="2"/>
                <w:sz w:val="14"/>
                <w:szCs w:val="14"/>
                <w14:ligatures w14:val="standardContextual"/>
              </w:rPr>
              <w:t>Profesor asistente en el Departamento de Estudios de Administración e Ingeniería Industrial del Instituto Indio de Tecnología</w:t>
            </w:r>
          </w:p>
        </w:tc>
        <w:tc>
          <w:tcPr>
            <w:tcW w:w="1842" w:type="dxa"/>
            <w:tcBorders>
              <w:top w:val="nil"/>
              <w:left w:val="nil"/>
              <w:bottom w:val="nil"/>
              <w:right w:val="nil"/>
            </w:tcBorders>
            <w:shd w:val="clear" w:color="000000" w:fill="D9D9D9"/>
            <w:noWrap/>
            <w:vAlign w:val="center"/>
            <w:hideMark/>
          </w:tcPr>
          <w:p w14:paraId="054FA5BD" w14:textId="45D543E5" w:rsidR="003A6A51" w:rsidRPr="00D71342" w:rsidRDefault="003A6A51" w:rsidP="00A667CB">
            <w:pPr>
              <w:ind w:left="52" w:right="91" w:firstLine="2"/>
              <w:jc w:val="center"/>
              <w:rPr>
                <w:kern w:val="2"/>
                <w:sz w:val="14"/>
                <w:szCs w:val="14"/>
                <w14:ligatures w14:val="standardContextual"/>
              </w:rPr>
            </w:pPr>
            <w:r w:rsidRPr="00D71342">
              <w:rPr>
                <w:kern w:val="2"/>
                <w:sz w:val="14"/>
                <w:szCs w:val="14"/>
                <w14:ligatures w14:val="standardContextual"/>
              </w:rPr>
              <w:t>4</w:t>
            </w:r>
          </w:p>
        </w:tc>
        <w:tc>
          <w:tcPr>
            <w:tcW w:w="2107" w:type="dxa"/>
            <w:tcBorders>
              <w:top w:val="nil"/>
              <w:left w:val="nil"/>
              <w:bottom w:val="nil"/>
              <w:right w:val="nil"/>
            </w:tcBorders>
            <w:shd w:val="clear" w:color="000000" w:fill="D9D9D9"/>
            <w:noWrap/>
            <w:vAlign w:val="center"/>
            <w:hideMark/>
          </w:tcPr>
          <w:p w14:paraId="5B95E81D" w14:textId="3DD1D1B8" w:rsidR="003A6A51" w:rsidRPr="00D71342" w:rsidRDefault="003A6A51" w:rsidP="00A667CB">
            <w:pPr>
              <w:ind w:left="53" w:right="72" w:firstLine="2"/>
              <w:jc w:val="center"/>
              <w:rPr>
                <w:kern w:val="2"/>
                <w:sz w:val="14"/>
                <w:szCs w:val="14"/>
                <w14:ligatures w14:val="standardContextual"/>
              </w:rPr>
            </w:pPr>
            <w:r w:rsidRPr="00D71342">
              <w:rPr>
                <w:kern w:val="2"/>
                <w:sz w:val="14"/>
                <w:szCs w:val="14"/>
                <w14:ligatures w14:val="standardContextual"/>
              </w:rPr>
              <w:t>234</w:t>
            </w:r>
          </w:p>
        </w:tc>
      </w:tr>
      <w:tr w:rsidR="00D71342" w:rsidRPr="00D71342" w14:paraId="6B6D8108" w14:textId="77777777" w:rsidTr="00A667CB">
        <w:trPr>
          <w:trHeight w:val="64"/>
        </w:trPr>
        <w:tc>
          <w:tcPr>
            <w:tcW w:w="444" w:type="dxa"/>
            <w:tcBorders>
              <w:top w:val="nil"/>
              <w:left w:val="nil"/>
              <w:bottom w:val="nil"/>
              <w:right w:val="nil"/>
            </w:tcBorders>
            <w:noWrap/>
            <w:vAlign w:val="center"/>
          </w:tcPr>
          <w:p w14:paraId="29FF7F51" w14:textId="5841A7BF" w:rsidR="003A6A51" w:rsidRPr="00D71342" w:rsidRDefault="003A6A51" w:rsidP="00A667CB">
            <w:pPr>
              <w:ind w:firstLine="2"/>
              <w:jc w:val="center"/>
              <w:rPr>
                <w:kern w:val="2"/>
                <w:sz w:val="14"/>
                <w:szCs w:val="14"/>
                <w14:ligatures w14:val="standardContextual"/>
              </w:rPr>
            </w:pPr>
            <w:r w:rsidRPr="00D71342">
              <w:rPr>
                <w:kern w:val="2"/>
                <w:sz w:val="14"/>
                <w:szCs w:val="14"/>
                <w14:ligatures w14:val="standardContextual"/>
              </w:rPr>
              <w:t>8</w:t>
            </w:r>
          </w:p>
        </w:tc>
        <w:tc>
          <w:tcPr>
            <w:tcW w:w="2040" w:type="dxa"/>
            <w:tcBorders>
              <w:top w:val="nil"/>
              <w:left w:val="nil"/>
              <w:bottom w:val="nil"/>
              <w:right w:val="nil"/>
            </w:tcBorders>
            <w:noWrap/>
            <w:vAlign w:val="center"/>
          </w:tcPr>
          <w:p w14:paraId="49C40690" w14:textId="7F358841" w:rsidR="003A6A51" w:rsidRPr="00D71342" w:rsidRDefault="003A6A51" w:rsidP="00A667CB">
            <w:pPr>
              <w:ind w:left="53" w:right="146" w:firstLine="2"/>
              <w:rPr>
                <w:kern w:val="2"/>
                <w:sz w:val="14"/>
                <w:szCs w:val="14"/>
                <w14:ligatures w14:val="standardContextual"/>
              </w:rPr>
            </w:pPr>
            <w:r w:rsidRPr="00D71342">
              <w:rPr>
                <w:kern w:val="2"/>
                <w:sz w:val="14"/>
                <w:szCs w:val="14"/>
                <w14:ligatures w14:val="standardContextual"/>
              </w:rPr>
              <w:t>Shehzad, Muhammad Usman</w:t>
            </w:r>
          </w:p>
        </w:tc>
        <w:tc>
          <w:tcPr>
            <w:tcW w:w="3489" w:type="dxa"/>
            <w:tcBorders>
              <w:top w:val="nil"/>
              <w:left w:val="nil"/>
              <w:bottom w:val="nil"/>
              <w:right w:val="nil"/>
            </w:tcBorders>
            <w:vAlign w:val="center"/>
          </w:tcPr>
          <w:p w14:paraId="003CAEBD" w14:textId="30AD5785" w:rsidR="003A6A51" w:rsidRPr="00D71342" w:rsidRDefault="003A6A51" w:rsidP="00A667CB">
            <w:pPr>
              <w:ind w:left="139" w:right="92" w:firstLine="2"/>
              <w:rPr>
                <w:kern w:val="2"/>
                <w:sz w:val="14"/>
                <w:szCs w:val="14"/>
                <w14:ligatures w14:val="standardContextual"/>
              </w:rPr>
            </w:pPr>
            <w:r w:rsidRPr="00D71342">
              <w:rPr>
                <w:kern w:val="2"/>
                <w:sz w:val="14"/>
                <w:szCs w:val="14"/>
                <w14:ligatures w14:val="standardContextual"/>
              </w:rPr>
              <w:t>Investigador postdoctoral en la Universidad de Recursos Hídricos y Energía Eléctrica del Norte de China</w:t>
            </w:r>
          </w:p>
        </w:tc>
        <w:tc>
          <w:tcPr>
            <w:tcW w:w="1842" w:type="dxa"/>
            <w:tcBorders>
              <w:top w:val="nil"/>
              <w:left w:val="nil"/>
              <w:bottom w:val="nil"/>
              <w:right w:val="nil"/>
            </w:tcBorders>
            <w:noWrap/>
            <w:vAlign w:val="center"/>
          </w:tcPr>
          <w:p w14:paraId="330835C5" w14:textId="6B50C61C" w:rsidR="003A6A51" w:rsidRPr="00D71342" w:rsidRDefault="003A6A51" w:rsidP="00A667CB">
            <w:pPr>
              <w:ind w:left="52" w:right="91" w:firstLine="2"/>
              <w:jc w:val="center"/>
              <w:rPr>
                <w:kern w:val="2"/>
                <w:sz w:val="14"/>
                <w:szCs w:val="14"/>
                <w14:ligatures w14:val="standardContextual"/>
              </w:rPr>
            </w:pPr>
            <w:r w:rsidRPr="00D71342">
              <w:rPr>
                <w:kern w:val="2"/>
                <w:sz w:val="14"/>
                <w:szCs w:val="14"/>
                <w14:ligatures w14:val="standardContextual"/>
              </w:rPr>
              <w:t>2</w:t>
            </w:r>
          </w:p>
        </w:tc>
        <w:tc>
          <w:tcPr>
            <w:tcW w:w="2107" w:type="dxa"/>
            <w:tcBorders>
              <w:top w:val="nil"/>
              <w:left w:val="nil"/>
              <w:bottom w:val="nil"/>
              <w:right w:val="nil"/>
            </w:tcBorders>
            <w:noWrap/>
            <w:vAlign w:val="center"/>
          </w:tcPr>
          <w:p w14:paraId="5D038761" w14:textId="1A6E8AEC" w:rsidR="003A6A51" w:rsidRPr="00D71342" w:rsidRDefault="003A6A51" w:rsidP="00A667CB">
            <w:pPr>
              <w:ind w:left="53" w:right="72" w:firstLine="2"/>
              <w:jc w:val="center"/>
              <w:rPr>
                <w:kern w:val="2"/>
                <w:sz w:val="14"/>
                <w:szCs w:val="14"/>
                <w14:ligatures w14:val="standardContextual"/>
              </w:rPr>
            </w:pPr>
            <w:r w:rsidRPr="00D71342">
              <w:rPr>
                <w:kern w:val="2"/>
                <w:sz w:val="14"/>
                <w:szCs w:val="14"/>
                <w14:ligatures w14:val="standardContextual"/>
              </w:rPr>
              <w:t>212</w:t>
            </w:r>
          </w:p>
        </w:tc>
      </w:tr>
      <w:tr w:rsidR="00D71342" w:rsidRPr="00D71342" w14:paraId="5D79C6A5" w14:textId="77777777" w:rsidTr="00A667CB">
        <w:trPr>
          <w:trHeight w:val="64"/>
        </w:trPr>
        <w:tc>
          <w:tcPr>
            <w:tcW w:w="444" w:type="dxa"/>
            <w:tcBorders>
              <w:top w:val="nil"/>
              <w:left w:val="nil"/>
              <w:right w:val="nil"/>
            </w:tcBorders>
            <w:shd w:val="clear" w:color="000000" w:fill="D9D9D9"/>
            <w:noWrap/>
            <w:vAlign w:val="center"/>
            <w:hideMark/>
          </w:tcPr>
          <w:p w14:paraId="62FC0637" w14:textId="7407AA65" w:rsidR="003A6A51" w:rsidRPr="00D71342" w:rsidRDefault="003A6A51" w:rsidP="00A667CB">
            <w:pPr>
              <w:ind w:firstLine="2"/>
              <w:jc w:val="center"/>
              <w:rPr>
                <w:kern w:val="2"/>
                <w:sz w:val="14"/>
                <w:szCs w:val="14"/>
                <w14:ligatures w14:val="standardContextual"/>
              </w:rPr>
            </w:pPr>
            <w:r w:rsidRPr="00D71342">
              <w:rPr>
                <w:kern w:val="2"/>
                <w:sz w:val="14"/>
                <w:szCs w:val="14"/>
                <w14:ligatures w14:val="standardContextual"/>
              </w:rPr>
              <w:t>9</w:t>
            </w:r>
          </w:p>
        </w:tc>
        <w:tc>
          <w:tcPr>
            <w:tcW w:w="2040" w:type="dxa"/>
            <w:tcBorders>
              <w:top w:val="nil"/>
              <w:left w:val="nil"/>
              <w:right w:val="nil"/>
            </w:tcBorders>
            <w:shd w:val="clear" w:color="000000" w:fill="D9D9D9"/>
            <w:noWrap/>
            <w:vAlign w:val="center"/>
            <w:hideMark/>
          </w:tcPr>
          <w:p w14:paraId="798764FD" w14:textId="372E3711" w:rsidR="003A6A51" w:rsidRPr="00D71342" w:rsidRDefault="003A6A51" w:rsidP="00A667CB">
            <w:pPr>
              <w:ind w:left="53" w:right="146" w:firstLine="2"/>
              <w:rPr>
                <w:kern w:val="2"/>
                <w:sz w:val="14"/>
                <w:szCs w:val="14"/>
                <w14:ligatures w14:val="standardContextual"/>
              </w:rPr>
            </w:pPr>
            <w:r w:rsidRPr="00D71342">
              <w:rPr>
                <w:kern w:val="2"/>
                <w:sz w:val="14"/>
                <w:szCs w:val="14"/>
                <w14:ligatures w14:val="standardContextual"/>
              </w:rPr>
              <w:t>Zhang, Jianhua</w:t>
            </w:r>
          </w:p>
        </w:tc>
        <w:tc>
          <w:tcPr>
            <w:tcW w:w="3489" w:type="dxa"/>
            <w:tcBorders>
              <w:top w:val="nil"/>
              <w:left w:val="nil"/>
              <w:right w:val="nil"/>
            </w:tcBorders>
            <w:shd w:val="clear" w:color="000000" w:fill="D9D9D9"/>
            <w:vAlign w:val="center"/>
            <w:hideMark/>
          </w:tcPr>
          <w:p w14:paraId="5A3A2529" w14:textId="32299996" w:rsidR="003A6A51" w:rsidRPr="00D71342" w:rsidRDefault="003A6A51" w:rsidP="00A667CB">
            <w:pPr>
              <w:ind w:left="139" w:right="92" w:firstLine="2"/>
              <w:rPr>
                <w:kern w:val="2"/>
                <w:sz w:val="14"/>
                <w:szCs w:val="14"/>
                <w14:ligatures w14:val="standardContextual"/>
              </w:rPr>
            </w:pPr>
            <w:r w:rsidRPr="00D71342">
              <w:rPr>
                <w:kern w:val="2"/>
                <w:sz w:val="14"/>
                <w:szCs w:val="14"/>
                <w14:ligatures w14:val="standardContextual"/>
              </w:rPr>
              <w:t>Profesor y Supervisor de Doctorado en la Escuela de Administración de la Universidad de Zhengzhou</w:t>
            </w:r>
          </w:p>
        </w:tc>
        <w:tc>
          <w:tcPr>
            <w:tcW w:w="1842" w:type="dxa"/>
            <w:tcBorders>
              <w:top w:val="nil"/>
              <w:left w:val="nil"/>
              <w:right w:val="nil"/>
            </w:tcBorders>
            <w:shd w:val="clear" w:color="000000" w:fill="D9D9D9"/>
            <w:noWrap/>
            <w:vAlign w:val="center"/>
            <w:hideMark/>
          </w:tcPr>
          <w:p w14:paraId="03B07B47" w14:textId="72170C4E" w:rsidR="003A6A51" w:rsidRPr="00D71342" w:rsidRDefault="003A6A51" w:rsidP="00A667CB">
            <w:pPr>
              <w:ind w:left="52" w:right="91" w:firstLine="2"/>
              <w:jc w:val="center"/>
              <w:rPr>
                <w:kern w:val="2"/>
                <w:sz w:val="14"/>
                <w:szCs w:val="14"/>
                <w14:ligatures w14:val="standardContextual"/>
              </w:rPr>
            </w:pPr>
            <w:r w:rsidRPr="00D71342">
              <w:rPr>
                <w:kern w:val="2"/>
                <w:sz w:val="14"/>
                <w:szCs w:val="14"/>
                <w14:ligatures w14:val="standardContextual"/>
              </w:rPr>
              <w:t>2</w:t>
            </w:r>
          </w:p>
        </w:tc>
        <w:tc>
          <w:tcPr>
            <w:tcW w:w="2107" w:type="dxa"/>
            <w:tcBorders>
              <w:top w:val="nil"/>
              <w:left w:val="nil"/>
              <w:right w:val="nil"/>
            </w:tcBorders>
            <w:shd w:val="clear" w:color="000000" w:fill="D9D9D9"/>
            <w:noWrap/>
            <w:vAlign w:val="center"/>
            <w:hideMark/>
          </w:tcPr>
          <w:p w14:paraId="2475FD0E" w14:textId="27F7753D" w:rsidR="003A6A51" w:rsidRPr="00D71342" w:rsidRDefault="003A6A51" w:rsidP="00A667CB">
            <w:pPr>
              <w:ind w:left="53" w:right="72" w:firstLine="2"/>
              <w:jc w:val="center"/>
              <w:rPr>
                <w:kern w:val="2"/>
                <w:sz w:val="14"/>
                <w:szCs w:val="14"/>
                <w14:ligatures w14:val="standardContextual"/>
              </w:rPr>
            </w:pPr>
            <w:r w:rsidRPr="00D71342">
              <w:rPr>
                <w:kern w:val="2"/>
                <w:sz w:val="14"/>
                <w:szCs w:val="14"/>
                <w14:ligatures w14:val="standardContextual"/>
              </w:rPr>
              <w:t>212</w:t>
            </w:r>
          </w:p>
        </w:tc>
      </w:tr>
      <w:tr w:rsidR="006D6CE2" w:rsidRPr="00D71342" w14:paraId="6285E686" w14:textId="77777777" w:rsidTr="00A667CB">
        <w:trPr>
          <w:trHeight w:val="64"/>
        </w:trPr>
        <w:tc>
          <w:tcPr>
            <w:tcW w:w="444" w:type="dxa"/>
            <w:tcBorders>
              <w:top w:val="nil"/>
              <w:left w:val="nil"/>
              <w:bottom w:val="single" w:sz="4" w:space="0" w:color="auto"/>
              <w:right w:val="nil"/>
            </w:tcBorders>
            <w:noWrap/>
            <w:vAlign w:val="center"/>
            <w:hideMark/>
          </w:tcPr>
          <w:p w14:paraId="23C68980" w14:textId="0FDD9D8B" w:rsidR="003A6A51" w:rsidRPr="00D71342" w:rsidRDefault="003A6A51" w:rsidP="00A667CB">
            <w:pPr>
              <w:ind w:firstLine="2"/>
              <w:jc w:val="center"/>
              <w:rPr>
                <w:kern w:val="2"/>
                <w:sz w:val="14"/>
                <w:szCs w:val="14"/>
                <w14:ligatures w14:val="standardContextual"/>
              </w:rPr>
            </w:pPr>
            <w:r w:rsidRPr="00D71342">
              <w:rPr>
                <w:kern w:val="2"/>
                <w:sz w:val="14"/>
                <w:szCs w:val="14"/>
                <w14:ligatures w14:val="standardContextual"/>
              </w:rPr>
              <w:t>10</w:t>
            </w:r>
          </w:p>
        </w:tc>
        <w:tc>
          <w:tcPr>
            <w:tcW w:w="2040" w:type="dxa"/>
            <w:tcBorders>
              <w:top w:val="nil"/>
              <w:left w:val="nil"/>
              <w:bottom w:val="single" w:sz="4" w:space="0" w:color="auto"/>
              <w:right w:val="nil"/>
            </w:tcBorders>
            <w:noWrap/>
            <w:vAlign w:val="center"/>
            <w:hideMark/>
          </w:tcPr>
          <w:p w14:paraId="1295BA03" w14:textId="24F1B687" w:rsidR="003A6A51" w:rsidRPr="00D71342" w:rsidRDefault="003A6A51" w:rsidP="00A667CB">
            <w:pPr>
              <w:ind w:left="53" w:right="146" w:firstLine="2"/>
              <w:rPr>
                <w:kern w:val="2"/>
                <w:sz w:val="14"/>
                <w:szCs w:val="14"/>
                <w14:ligatures w14:val="standardContextual"/>
              </w:rPr>
            </w:pPr>
            <w:r w:rsidRPr="00D71342">
              <w:rPr>
                <w:kern w:val="2"/>
                <w:sz w:val="14"/>
                <w:szCs w:val="14"/>
                <w14:ligatures w14:val="standardContextual"/>
              </w:rPr>
              <w:t>Latif, Khawaja Fawad</w:t>
            </w:r>
          </w:p>
        </w:tc>
        <w:tc>
          <w:tcPr>
            <w:tcW w:w="3489" w:type="dxa"/>
            <w:tcBorders>
              <w:top w:val="nil"/>
              <w:left w:val="nil"/>
              <w:bottom w:val="single" w:sz="4" w:space="0" w:color="auto"/>
              <w:right w:val="nil"/>
            </w:tcBorders>
            <w:vAlign w:val="center"/>
            <w:hideMark/>
          </w:tcPr>
          <w:p w14:paraId="150DB5A5" w14:textId="1C3FF192" w:rsidR="003A6A51" w:rsidRPr="00D71342" w:rsidRDefault="003A6A51" w:rsidP="00A667CB">
            <w:pPr>
              <w:ind w:left="139" w:right="92" w:firstLine="2"/>
              <w:rPr>
                <w:kern w:val="2"/>
                <w:sz w:val="14"/>
                <w:szCs w:val="14"/>
                <w14:ligatures w14:val="standardContextual"/>
              </w:rPr>
            </w:pPr>
            <w:r w:rsidRPr="00D71342">
              <w:rPr>
                <w:kern w:val="2"/>
                <w:sz w:val="14"/>
                <w:szCs w:val="14"/>
                <w14:ligatures w14:val="standardContextual"/>
              </w:rPr>
              <w:t>Profesor asociado al Departamento de Ciencias Administrativas de la Universidad COMSATS de Islamabad</w:t>
            </w:r>
          </w:p>
        </w:tc>
        <w:tc>
          <w:tcPr>
            <w:tcW w:w="1842" w:type="dxa"/>
            <w:tcBorders>
              <w:top w:val="nil"/>
              <w:left w:val="nil"/>
              <w:bottom w:val="single" w:sz="4" w:space="0" w:color="auto"/>
              <w:right w:val="nil"/>
            </w:tcBorders>
            <w:noWrap/>
            <w:vAlign w:val="center"/>
            <w:hideMark/>
          </w:tcPr>
          <w:p w14:paraId="49FE4964" w14:textId="4F1F24B4" w:rsidR="003A6A51" w:rsidRPr="00D71342" w:rsidRDefault="003A6A51" w:rsidP="00A667CB">
            <w:pPr>
              <w:ind w:left="52" w:right="91" w:firstLine="2"/>
              <w:jc w:val="center"/>
              <w:rPr>
                <w:kern w:val="2"/>
                <w:sz w:val="14"/>
                <w:szCs w:val="14"/>
                <w14:ligatures w14:val="standardContextual"/>
              </w:rPr>
            </w:pPr>
            <w:r w:rsidRPr="00D71342">
              <w:rPr>
                <w:kern w:val="2"/>
                <w:sz w:val="14"/>
                <w:szCs w:val="14"/>
                <w14:ligatures w14:val="standardContextual"/>
              </w:rPr>
              <w:t>1</w:t>
            </w:r>
          </w:p>
        </w:tc>
        <w:tc>
          <w:tcPr>
            <w:tcW w:w="2107" w:type="dxa"/>
            <w:tcBorders>
              <w:top w:val="nil"/>
              <w:left w:val="nil"/>
              <w:bottom w:val="single" w:sz="4" w:space="0" w:color="auto"/>
              <w:right w:val="nil"/>
            </w:tcBorders>
            <w:noWrap/>
            <w:vAlign w:val="center"/>
            <w:hideMark/>
          </w:tcPr>
          <w:p w14:paraId="3B5261FC" w14:textId="5DE8F172" w:rsidR="003A6A51" w:rsidRPr="00D71342" w:rsidRDefault="003A6A51" w:rsidP="00A667CB">
            <w:pPr>
              <w:ind w:left="53" w:right="72" w:firstLine="2"/>
              <w:jc w:val="center"/>
              <w:rPr>
                <w:kern w:val="2"/>
                <w:sz w:val="14"/>
                <w:szCs w:val="14"/>
                <w14:ligatures w14:val="standardContextual"/>
              </w:rPr>
            </w:pPr>
            <w:r w:rsidRPr="00D71342">
              <w:rPr>
                <w:kern w:val="2"/>
                <w:sz w:val="14"/>
                <w:szCs w:val="14"/>
                <w14:ligatures w14:val="standardContextual"/>
              </w:rPr>
              <w:t>179</w:t>
            </w:r>
          </w:p>
        </w:tc>
      </w:tr>
    </w:tbl>
    <w:p w14:paraId="3DF2EC4C" w14:textId="77777777" w:rsidR="003A6A51" w:rsidRPr="00D71342" w:rsidRDefault="003A6A51" w:rsidP="00E507EC">
      <w:pPr>
        <w:pStyle w:val="Textoindependiente"/>
        <w:spacing w:line="259" w:lineRule="auto"/>
        <w:ind w:right="711"/>
        <w:jc w:val="both"/>
        <w:sectPr w:rsidR="003A6A51" w:rsidRPr="00D71342" w:rsidSect="003A6A51">
          <w:type w:val="continuous"/>
          <w:pgSz w:w="12240" w:h="15840"/>
          <w:pgMar w:top="1000" w:right="360" w:bottom="1200" w:left="720" w:header="0" w:footer="1000" w:gutter="0"/>
          <w:cols w:space="71"/>
        </w:sectPr>
      </w:pPr>
    </w:p>
    <w:p w14:paraId="31990670" w14:textId="002C4383" w:rsidR="003A6A51" w:rsidRPr="00D71342" w:rsidRDefault="003A6A51" w:rsidP="00E507EC">
      <w:pPr>
        <w:ind w:left="357"/>
        <w:rPr>
          <w:sz w:val="14"/>
          <w:szCs w:val="18"/>
          <w:lang w:val="es-CO"/>
        </w:rPr>
      </w:pPr>
      <w:r w:rsidRPr="00D71342">
        <w:rPr>
          <w:sz w:val="14"/>
          <w:szCs w:val="18"/>
          <w:lang w:val="es-CO"/>
        </w:rPr>
        <w:t>Nota. Tabla modificada en VOSviewer. Tomado de la base de datos de Scopus, enero 2026.</w:t>
      </w:r>
    </w:p>
    <w:p w14:paraId="0D735312" w14:textId="46B937E1" w:rsidR="003A6A51" w:rsidRPr="00D71342" w:rsidRDefault="003A6A51" w:rsidP="0069238C">
      <w:pPr>
        <w:pStyle w:val="Ttulo3"/>
        <w:spacing w:before="159" w:after="240"/>
        <w:ind w:left="1078"/>
        <w:jc w:val="center"/>
      </w:pPr>
      <w:r w:rsidRPr="00D71342">
        <w:t>Tabla</w:t>
      </w:r>
      <w:r w:rsidRPr="00D71342">
        <w:rPr>
          <w:spacing w:val="-5"/>
        </w:rPr>
        <w:t xml:space="preserve"> </w:t>
      </w:r>
      <w:r w:rsidRPr="00D71342">
        <w:t>3.</w:t>
      </w:r>
      <w:r w:rsidRPr="00D71342">
        <w:rPr>
          <w:spacing w:val="-6"/>
        </w:rPr>
        <w:t xml:space="preserve"> Autores más citados de la base de datos de WoS</w:t>
      </w:r>
      <w:r w:rsidRPr="00D71342">
        <w:t>.</w:t>
      </w:r>
    </w:p>
    <w:tbl>
      <w:tblPr>
        <w:tblW w:w="9922" w:type="dxa"/>
        <w:tblInd w:w="496" w:type="dxa"/>
        <w:tblCellMar>
          <w:left w:w="70" w:type="dxa"/>
          <w:right w:w="70" w:type="dxa"/>
        </w:tblCellMar>
        <w:tblLook w:val="04A0" w:firstRow="1" w:lastRow="0" w:firstColumn="1" w:lastColumn="0" w:noHBand="0" w:noVBand="1"/>
      </w:tblPr>
      <w:tblGrid>
        <w:gridCol w:w="425"/>
        <w:gridCol w:w="2126"/>
        <w:gridCol w:w="3402"/>
        <w:gridCol w:w="1843"/>
        <w:gridCol w:w="2126"/>
      </w:tblGrid>
      <w:tr w:rsidR="00D71342" w:rsidRPr="00D71342" w14:paraId="107B8544" w14:textId="77777777" w:rsidTr="00CD1C51">
        <w:trPr>
          <w:trHeight w:val="78"/>
        </w:trPr>
        <w:tc>
          <w:tcPr>
            <w:tcW w:w="425" w:type="dxa"/>
            <w:tcBorders>
              <w:top w:val="nil"/>
              <w:left w:val="nil"/>
              <w:bottom w:val="single" w:sz="4" w:space="0" w:color="auto"/>
              <w:right w:val="nil"/>
            </w:tcBorders>
            <w:noWrap/>
            <w:vAlign w:val="center"/>
            <w:hideMark/>
          </w:tcPr>
          <w:p w14:paraId="315FCCBF" w14:textId="77777777" w:rsidR="003A6A51" w:rsidRPr="00D71342" w:rsidRDefault="003A6A51" w:rsidP="00CD1C51">
            <w:pPr>
              <w:ind w:firstLine="2"/>
              <w:jc w:val="center"/>
              <w:rPr>
                <w:kern w:val="2"/>
                <w:sz w:val="14"/>
                <w:szCs w:val="14"/>
                <w14:ligatures w14:val="standardContextual"/>
              </w:rPr>
            </w:pPr>
            <w:r w:rsidRPr="00D71342">
              <w:rPr>
                <w:kern w:val="2"/>
                <w:sz w:val="14"/>
                <w:szCs w:val="14"/>
                <w14:ligatures w14:val="standardContextual"/>
              </w:rPr>
              <w:t> </w:t>
            </w:r>
          </w:p>
        </w:tc>
        <w:tc>
          <w:tcPr>
            <w:tcW w:w="2126" w:type="dxa"/>
            <w:tcBorders>
              <w:top w:val="single" w:sz="4" w:space="0" w:color="auto"/>
              <w:left w:val="nil"/>
              <w:bottom w:val="single" w:sz="4" w:space="0" w:color="auto"/>
              <w:right w:val="nil"/>
            </w:tcBorders>
            <w:noWrap/>
            <w:vAlign w:val="center"/>
            <w:hideMark/>
          </w:tcPr>
          <w:p w14:paraId="433E95AD" w14:textId="77777777" w:rsidR="003A6A51" w:rsidRPr="00D71342" w:rsidRDefault="003A6A51" w:rsidP="00CD1C51">
            <w:pPr>
              <w:ind w:left="72" w:right="213"/>
              <w:jc w:val="center"/>
              <w:rPr>
                <w:b/>
                <w:kern w:val="2"/>
                <w:sz w:val="14"/>
                <w:szCs w:val="14"/>
                <w14:ligatures w14:val="standardContextual"/>
              </w:rPr>
            </w:pPr>
            <w:r w:rsidRPr="00D71342">
              <w:rPr>
                <w:b/>
                <w:kern w:val="2"/>
                <w:sz w:val="14"/>
                <w:szCs w:val="14"/>
                <w14:ligatures w14:val="standardContextual"/>
              </w:rPr>
              <w:t>Autor</w:t>
            </w:r>
          </w:p>
        </w:tc>
        <w:tc>
          <w:tcPr>
            <w:tcW w:w="3402" w:type="dxa"/>
            <w:tcBorders>
              <w:top w:val="single" w:sz="4" w:space="0" w:color="auto"/>
              <w:left w:val="nil"/>
              <w:bottom w:val="single" w:sz="4" w:space="0" w:color="auto"/>
              <w:right w:val="nil"/>
            </w:tcBorders>
            <w:noWrap/>
            <w:vAlign w:val="center"/>
            <w:hideMark/>
          </w:tcPr>
          <w:p w14:paraId="5300E2F7" w14:textId="77777777" w:rsidR="003A6A51" w:rsidRPr="00D71342" w:rsidRDefault="003A6A51" w:rsidP="00CD1C51">
            <w:pPr>
              <w:ind w:left="72" w:right="72" w:firstLine="2"/>
              <w:jc w:val="center"/>
              <w:rPr>
                <w:b/>
                <w:kern w:val="2"/>
                <w:sz w:val="14"/>
                <w:szCs w:val="14"/>
                <w14:ligatures w14:val="standardContextual"/>
              </w:rPr>
            </w:pPr>
            <w:r w:rsidRPr="00D71342">
              <w:rPr>
                <w:b/>
                <w:kern w:val="2"/>
                <w:sz w:val="14"/>
                <w:szCs w:val="14"/>
                <w14:ligatures w14:val="standardContextual"/>
              </w:rPr>
              <w:t>Ocupación</w:t>
            </w:r>
          </w:p>
        </w:tc>
        <w:tc>
          <w:tcPr>
            <w:tcW w:w="1843" w:type="dxa"/>
            <w:tcBorders>
              <w:top w:val="single" w:sz="4" w:space="0" w:color="auto"/>
              <w:left w:val="nil"/>
              <w:bottom w:val="single" w:sz="4" w:space="0" w:color="auto"/>
              <w:right w:val="nil"/>
            </w:tcBorders>
            <w:noWrap/>
            <w:vAlign w:val="center"/>
            <w:hideMark/>
          </w:tcPr>
          <w:p w14:paraId="641004C1" w14:textId="77777777" w:rsidR="003A6A51" w:rsidRPr="00D71342" w:rsidRDefault="003A6A51" w:rsidP="00CD1C51">
            <w:pPr>
              <w:ind w:left="72" w:right="72"/>
              <w:jc w:val="center"/>
              <w:rPr>
                <w:b/>
                <w:kern w:val="2"/>
                <w:sz w:val="14"/>
                <w:szCs w:val="14"/>
                <w14:ligatures w14:val="standardContextual"/>
              </w:rPr>
            </w:pPr>
            <w:r w:rsidRPr="00D71342">
              <w:rPr>
                <w:b/>
                <w:kern w:val="2"/>
                <w:sz w:val="14"/>
                <w:szCs w:val="14"/>
                <w14:ligatures w14:val="standardContextual"/>
              </w:rPr>
              <w:t>Documentos</w:t>
            </w:r>
          </w:p>
        </w:tc>
        <w:tc>
          <w:tcPr>
            <w:tcW w:w="2126" w:type="dxa"/>
            <w:tcBorders>
              <w:top w:val="single" w:sz="4" w:space="0" w:color="auto"/>
              <w:left w:val="nil"/>
              <w:bottom w:val="single" w:sz="4" w:space="0" w:color="auto"/>
              <w:right w:val="nil"/>
            </w:tcBorders>
            <w:noWrap/>
            <w:vAlign w:val="center"/>
            <w:hideMark/>
          </w:tcPr>
          <w:p w14:paraId="559356F3" w14:textId="77777777" w:rsidR="003A6A51" w:rsidRPr="00D71342" w:rsidRDefault="003A6A51" w:rsidP="00CD1C51">
            <w:pPr>
              <w:ind w:left="72" w:right="72"/>
              <w:jc w:val="center"/>
              <w:rPr>
                <w:b/>
                <w:kern w:val="2"/>
                <w:sz w:val="14"/>
                <w:szCs w:val="14"/>
                <w14:ligatures w14:val="standardContextual"/>
              </w:rPr>
            </w:pPr>
            <w:r w:rsidRPr="00D71342">
              <w:rPr>
                <w:b/>
                <w:kern w:val="2"/>
                <w:sz w:val="14"/>
                <w:szCs w:val="14"/>
                <w14:ligatures w14:val="standardContextual"/>
              </w:rPr>
              <w:t>Citaciones</w:t>
            </w:r>
          </w:p>
        </w:tc>
      </w:tr>
      <w:tr w:rsidR="00D71342" w:rsidRPr="00D71342" w14:paraId="57E4F3F0" w14:textId="77777777" w:rsidTr="00CD1C51">
        <w:trPr>
          <w:trHeight w:val="54"/>
        </w:trPr>
        <w:tc>
          <w:tcPr>
            <w:tcW w:w="425" w:type="dxa"/>
            <w:tcBorders>
              <w:top w:val="nil"/>
              <w:left w:val="nil"/>
              <w:bottom w:val="nil"/>
              <w:right w:val="nil"/>
            </w:tcBorders>
            <w:shd w:val="clear" w:color="000000" w:fill="D9D9D9"/>
            <w:noWrap/>
            <w:vAlign w:val="center"/>
            <w:hideMark/>
          </w:tcPr>
          <w:p w14:paraId="6DB44523" w14:textId="77777777" w:rsidR="003A6A51" w:rsidRPr="00D71342" w:rsidRDefault="003A6A51" w:rsidP="00CD1C51">
            <w:pPr>
              <w:ind w:firstLine="2"/>
              <w:jc w:val="center"/>
              <w:rPr>
                <w:kern w:val="2"/>
                <w:sz w:val="14"/>
                <w:szCs w:val="14"/>
                <w14:ligatures w14:val="standardContextual"/>
              </w:rPr>
            </w:pPr>
            <w:r w:rsidRPr="00D71342">
              <w:rPr>
                <w:kern w:val="2"/>
                <w:sz w:val="14"/>
                <w:szCs w:val="14"/>
                <w14:ligatures w14:val="standardContextual"/>
              </w:rPr>
              <w:t>1</w:t>
            </w:r>
          </w:p>
        </w:tc>
        <w:tc>
          <w:tcPr>
            <w:tcW w:w="2126" w:type="dxa"/>
            <w:tcBorders>
              <w:top w:val="nil"/>
              <w:left w:val="nil"/>
              <w:bottom w:val="nil"/>
              <w:right w:val="nil"/>
            </w:tcBorders>
            <w:shd w:val="clear" w:color="000000" w:fill="D9D9D9"/>
            <w:noWrap/>
            <w:vAlign w:val="center"/>
            <w:hideMark/>
          </w:tcPr>
          <w:p w14:paraId="37CD3BD6" w14:textId="77777777" w:rsidR="003A6A51" w:rsidRPr="00D71342" w:rsidRDefault="003A6A51" w:rsidP="00CD1C51">
            <w:pPr>
              <w:ind w:left="72" w:right="213"/>
              <w:rPr>
                <w:kern w:val="2"/>
                <w:sz w:val="14"/>
                <w:szCs w:val="14"/>
                <w14:ligatures w14:val="standardContextual"/>
              </w:rPr>
            </w:pPr>
            <w:r w:rsidRPr="00D71342">
              <w:rPr>
                <w:kern w:val="2"/>
                <w:sz w:val="14"/>
                <w:szCs w:val="14"/>
                <w14:ligatures w14:val="standardContextual"/>
              </w:rPr>
              <w:t>Makhloufi, Lahcene</w:t>
            </w:r>
          </w:p>
        </w:tc>
        <w:tc>
          <w:tcPr>
            <w:tcW w:w="3402" w:type="dxa"/>
            <w:tcBorders>
              <w:top w:val="nil"/>
              <w:left w:val="nil"/>
              <w:bottom w:val="nil"/>
              <w:right w:val="nil"/>
            </w:tcBorders>
            <w:shd w:val="clear" w:color="000000" w:fill="D9D9D9"/>
            <w:vAlign w:val="center"/>
            <w:hideMark/>
          </w:tcPr>
          <w:p w14:paraId="577D5EC7" w14:textId="77777777" w:rsidR="003A6A51" w:rsidRPr="00D71342" w:rsidRDefault="003A6A51" w:rsidP="00CD1C51">
            <w:pPr>
              <w:ind w:left="72" w:right="72" w:firstLine="2"/>
              <w:rPr>
                <w:kern w:val="2"/>
                <w:sz w:val="14"/>
                <w:szCs w:val="14"/>
                <w14:ligatures w14:val="standardContextual"/>
              </w:rPr>
            </w:pPr>
            <w:bookmarkStart w:id="1" w:name="_Hlk221342109"/>
            <w:r w:rsidRPr="00D71342">
              <w:rPr>
                <w:kern w:val="2"/>
                <w:sz w:val="14"/>
                <w:szCs w:val="14"/>
                <w14:ligatures w14:val="standardContextual"/>
              </w:rPr>
              <w:t>Profesor titular en la Escuela de Administración de la Universidad de Mae Fah Luang</w:t>
            </w:r>
            <w:bookmarkEnd w:id="1"/>
          </w:p>
        </w:tc>
        <w:tc>
          <w:tcPr>
            <w:tcW w:w="1843" w:type="dxa"/>
            <w:tcBorders>
              <w:top w:val="nil"/>
              <w:left w:val="nil"/>
              <w:bottom w:val="nil"/>
              <w:right w:val="nil"/>
            </w:tcBorders>
            <w:shd w:val="clear" w:color="000000" w:fill="D9D9D9"/>
            <w:noWrap/>
            <w:vAlign w:val="center"/>
            <w:hideMark/>
          </w:tcPr>
          <w:p w14:paraId="7FA9D08E" w14:textId="77777777" w:rsidR="003A6A51" w:rsidRPr="00D71342" w:rsidRDefault="003A6A51" w:rsidP="00CD1C51">
            <w:pPr>
              <w:ind w:left="72" w:right="72"/>
              <w:jc w:val="center"/>
              <w:rPr>
                <w:kern w:val="2"/>
                <w:sz w:val="14"/>
                <w:szCs w:val="14"/>
                <w14:ligatures w14:val="standardContextual"/>
              </w:rPr>
            </w:pPr>
            <w:r w:rsidRPr="00D71342">
              <w:rPr>
                <w:kern w:val="2"/>
                <w:sz w:val="14"/>
                <w:szCs w:val="14"/>
                <w14:ligatures w14:val="standardContextual"/>
              </w:rPr>
              <w:t>3</w:t>
            </w:r>
          </w:p>
        </w:tc>
        <w:tc>
          <w:tcPr>
            <w:tcW w:w="2126" w:type="dxa"/>
            <w:tcBorders>
              <w:top w:val="nil"/>
              <w:left w:val="nil"/>
              <w:bottom w:val="nil"/>
              <w:right w:val="nil"/>
            </w:tcBorders>
            <w:shd w:val="clear" w:color="000000" w:fill="D9D9D9"/>
            <w:noWrap/>
            <w:vAlign w:val="center"/>
            <w:hideMark/>
          </w:tcPr>
          <w:p w14:paraId="30B2D6BE" w14:textId="77777777" w:rsidR="003A6A51" w:rsidRPr="00D71342" w:rsidRDefault="003A6A51" w:rsidP="00CD1C51">
            <w:pPr>
              <w:ind w:left="72" w:right="72"/>
              <w:jc w:val="center"/>
              <w:rPr>
                <w:kern w:val="2"/>
                <w:sz w:val="14"/>
                <w:szCs w:val="14"/>
                <w14:ligatures w14:val="standardContextual"/>
              </w:rPr>
            </w:pPr>
            <w:r w:rsidRPr="00D71342">
              <w:rPr>
                <w:kern w:val="2"/>
                <w:sz w:val="14"/>
                <w:szCs w:val="14"/>
                <w14:ligatures w14:val="standardContextual"/>
              </w:rPr>
              <w:t>276</w:t>
            </w:r>
          </w:p>
        </w:tc>
      </w:tr>
      <w:tr w:rsidR="00D71342" w:rsidRPr="00D71342" w14:paraId="286C8235" w14:textId="77777777" w:rsidTr="00CD1C51">
        <w:trPr>
          <w:trHeight w:val="64"/>
        </w:trPr>
        <w:tc>
          <w:tcPr>
            <w:tcW w:w="425" w:type="dxa"/>
            <w:tcBorders>
              <w:top w:val="nil"/>
              <w:left w:val="nil"/>
              <w:bottom w:val="nil"/>
              <w:right w:val="nil"/>
            </w:tcBorders>
            <w:noWrap/>
            <w:vAlign w:val="center"/>
            <w:hideMark/>
          </w:tcPr>
          <w:p w14:paraId="056F31E1" w14:textId="77777777" w:rsidR="003A6A51" w:rsidRPr="00D71342" w:rsidRDefault="003A6A51" w:rsidP="00CD1C51">
            <w:pPr>
              <w:ind w:firstLine="2"/>
              <w:jc w:val="center"/>
              <w:rPr>
                <w:kern w:val="2"/>
                <w:sz w:val="14"/>
                <w:szCs w:val="14"/>
                <w14:ligatures w14:val="standardContextual"/>
              </w:rPr>
            </w:pPr>
            <w:r w:rsidRPr="00D71342">
              <w:rPr>
                <w:kern w:val="2"/>
                <w:sz w:val="14"/>
                <w:szCs w:val="14"/>
                <w14:ligatures w14:val="standardContextual"/>
              </w:rPr>
              <w:t>2</w:t>
            </w:r>
          </w:p>
        </w:tc>
        <w:tc>
          <w:tcPr>
            <w:tcW w:w="2126" w:type="dxa"/>
            <w:tcBorders>
              <w:top w:val="nil"/>
              <w:left w:val="nil"/>
              <w:bottom w:val="nil"/>
              <w:right w:val="nil"/>
            </w:tcBorders>
            <w:noWrap/>
            <w:vAlign w:val="center"/>
            <w:hideMark/>
          </w:tcPr>
          <w:p w14:paraId="15D9499A" w14:textId="77777777" w:rsidR="003A6A51" w:rsidRPr="00D71342" w:rsidRDefault="003A6A51" w:rsidP="00CD1C51">
            <w:pPr>
              <w:ind w:left="72" w:right="213"/>
              <w:rPr>
                <w:kern w:val="2"/>
                <w:sz w:val="14"/>
                <w:szCs w:val="14"/>
                <w14:ligatures w14:val="standardContextual"/>
              </w:rPr>
            </w:pPr>
            <w:r w:rsidRPr="00D71342">
              <w:rPr>
                <w:kern w:val="2"/>
                <w:sz w:val="14"/>
                <w:szCs w:val="14"/>
                <w14:ligatures w14:val="standardContextual"/>
              </w:rPr>
              <w:t>Laghouag, Abderrazak Ahmed</w:t>
            </w:r>
          </w:p>
        </w:tc>
        <w:tc>
          <w:tcPr>
            <w:tcW w:w="3402" w:type="dxa"/>
            <w:tcBorders>
              <w:top w:val="nil"/>
              <w:left w:val="nil"/>
              <w:bottom w:val="nil"/>
              <w:right w:val="nil"/>
            </w:tcBorders>
            <w:vAlign w:val="center"/>
            <w:hideMark/>
          </w:tcPr>
          <w:p w14:paraId="4BE949A6" w14:textId="77777777" w:rsidR="003A6A51" w:rsidRPr="00D71342" w:rsidRDefault="003A6A51" w:rsidP="00CD1C51">
            <w:pPr>
              <w:ind w:left="72" w:right="72" w:firstLine="2"/>
              <w:rPr>
                <w:kern w:val="2"/>
                <w:sz w:val="14"/>
                <w:szCs w:val="14"/>
                <w14:ligatures w14:val="standardContextual"/>
              </w:rPr>
            </w:pPr>
            <w:r w:rsidRPr="00D71342">
              <w:rPr>
                <w:kern w:val="2"/>
                <w:sz w:val="14"/>
                <w:szCs w:val="14"/>
                <w14:ligatures w14:val="standardContextual"/>
              </w:rPr>
              <w:t>Investigador asociado al Centro de Estudios e Investigación del Petróleo Rey Abdullah</w:t>
            </w:r>
          </w:p>
        </w:tc>
        <w:tc>
          <w:tcPr>
            <w:tcW w:w="1843" w:type="dxa"/>
            <w:tcBorders>
              <w:top w:val="nil"/>
              <w:left w:val="nil"/>
              <w:bottom w:val="nil"/>
              <w:right w:val="nil"/>
            </w:tcBorders>
            <w:noWrap/>
            <w:vAlign w:val="center"/>
            <w:hideMark/>
          </w:tcPr>
          <w:p w14:paraId="4FBB41B1" w14:textId="77777777" w:rsidR="003A6A51" w:rsidRPr="00D71342" w:rsidRDefault="003A6A51" w:rsidP="00CD1C51">
            <w:pPr>
              <w:ind w:left="72" w:right="72"/>
              <w:jc w:val="center"/>
              <w:rPr>
                <w:kern w:val="2"/>
                <w:sz w:val="14"/>
                <w:szCs w:val="14"/>
                <w14:ligatures w14:val="standardContextual"/>
              </w:rPr>
            </w:pPr>
            <w:r w:rsidRPr="00D71342">
              <w:rPr>
                <w:kern w:val="2"/>
                <w:sz w:val="14"/>
                <w:szCs w:val="14"/>
                <w14:ligatures w14:val="standardContextual"/>
              </w:rPr>
              <w:t>1</w:t>
            </w:r>
          </w:p>
        </w:tc>
        <w:tc>
          <w:tcPr>
            <w:tcW w:w="2126" w:type="dxa"/>
            <w:tcBorders>
              <w:top w:val="nil"/>
              <w:left w:val="nil"/>
              <w:bottom w:val="nil"/>
              <w:right w:val="nil"/>
            </w:tcBorders>
            <w:noWrap/>
            <w:vAlign w:val="center"/>
            <w:hideMark/>
          </w:tcPr>
          <w:p w14:paraId="5DD3FBB7" w14:textId="77777777" w:rsidR="003A6A51" w:rsidRPr="00D71342" w:rsidRDefault="003A6A51" w:rsidP="00CD1C51">
            <w:pPr>
              <w:ind w:left="72" w:right="72"/>
              <w:jc w:val="center"/>
              <w:rPr>
                <w:kern w:val="2"/>
                <w:sz w:val="14"/>
                <w:szCs w:val="14"/>
                <w14:ligatures w14:val="standardContextual"/>
              </w:rPr>
            </w:pPr>
            <w:r w:rsidRPr="00D71342">
              <w:rPr>
                <w:kern w:val="2"/>
                <w:sz w:val="14"/>
                <w:szCs w:val="14"/>
                <w14:ligatures w14:val="standardContextual"/>
              </w:rPr>
              <w:t>223</w:t>
            </w:r>
          </w:p>
        </w:tc>
      </w:tr>
      <w:tr w:rsidR="00D71342" w:rsidRPr="00D71342" w14:paraId="3B4837D2" w14:textId="77777777" w:rsidTr="00CD1C51">
        <w:trPr>
          <w:trHeight w:val="64"/>
        </w:trPr>
        <w:tc>
          <w:tcPr>
            <w:tcW w:w="425" w:type="dxa"/>
            <w:tcBorders>
              <w:top w:val="nil"/>
              <w:left w:val="nil"/>
              <w:bottom w:val="nil"/>
              <w:right w:val="nil"/>
            </w:tcBorders>
            <w:shd w:val="clear" w:color="000000" w:fill="D9D9D9"/>
            <w:noWrap/>
            <w:vAlign w:val="center"/>
            <w:hideMark/>
          </w:tcPr>
          <w:p w14:paraId="65CC0637" w14:textId="77777777" w:rsidR="003A6A51" w:rsidRPr="00D71342" w:rsidRDefault="003A6A51" w:rsidP="00CD1C51">
            <w:pPr>
              <w:ind w:firstLine="2"/>
              <w:jc w:val="center"/>
              <w:rPr>
                <w:kern w:val="2"/>
                <w:sz w:val="14"/>
                <w:szCs w:val="14"/>
                <w14:ligatures w14:val="standardContextual"/>
              </w:rPr>
            </w:pPr>
            <w:r w:rsidRPr="00D71342">
              <w:rPr>
                <w:kern w:val="2"/>
                <w:sz w:val="14"/>
                <w:szCs w:val="14"/>
                <w14:ligatures w14:val="standardContextual"/>
              </w:rPr>
              <w:t>3</w:t>
            </w:r>
          </w:p>
        </w:tc>
        <w:tc>
          <w:tcPr>
            <w:tcW w:w="2126" w:type="dxa"/>
            <w:tcBorders>
              <w:top w:val="nil"/>
              <w:left w:val="nil"/>
              <w:bottom w:val="nil"/>
              <w:right w:val="nil"/>
            </w:tcBorders>
            <w:shd w:val="clear" w:color="000000" w:fill="D9D9D9"/>
            <w:noWrap/>
            <w:vAlign w:val="center"/>
            <w:hideMark/>
          </w:tcPr>
          <w:p w14:paraId="5F175973" w14:textId="77777777" w:rsidR="003A6A51" w:rsidRPr="00D71342" w:rsidRDefault="003A6A51" w:rsidP="00CD1C51">
            <w:pPr>
              <w:ind w:left="72" w:right="213"/>
              <w:rPr>
                <w:kern w:val="2"/>
                <w:sz w:val="14"/>
                <w:szCs w:val="14"/>
                <w14:ligatures w14:val="standardContextual"/>
              </w:rPr>
            </w:pPr>
            <w:r w:rsidRPr="00D71342">
              <w:rPr>
                <w:kern w:val="2"/>
                <w:sz w:val="14"/>
                <w:szCs w:val="14"/>
                <w14:ligatures w14:val="standardContextual"/>
              </w:rPr>
              <w:t>Meirun, Tang</w:t>
            </w:r>
          </w:p>
        </w:tc>
        <w:tc>
          <w:tcPr>
            <w:tcW w:w="3402" w:type="dxa"/>
            <w:tcBorders>
              <w:top w:val="nil"/>
              <w:left w:val="nil"/>
              <w:bottom w:val="nil"/>
              <w:right w:val="nil"/>
            </w:tcBorders>
            <w:shd w:val="clear" w:color="000000" w:fill="D9D9D9"/>
            <w:vAlign w:val="center"/>
            <w:hideMark/>
          </w:tcPr>
          <w:p w14:paraId="1DCF7914" w14:textId="77777777" w:rsidR="003A6A51" w:rsidRPr="00D71342" w:rsidRDefault="003A6A51" w:rsidP="00CD1C51">
            <w:pPr>
              <w:ind w:left="72" w:right="72" w:firstLine="2"/>
              <w:rPr>
                <w:kern w:val="2"/>
                <w:sz w:val="14"/>
                <w:szCs w:val="14"/>
                <w14:ligatures w14:val="standardContextual"/>
              </w:rPr>
            </w:pPr>
            <w:r w:rsidRPr="00D71342">
              <w:rPr>
                <w:kern w:val="2"/>
                <w:sz w:val="14"/>
                <w:szCs w:val="14"/>
                <w14:ligatures w14:val="standardContextual"/>
              </w:rPr>
              <w:t>Profesora asociada a la Escuela de Administración de la Universidad de Guizhou</w:t>
            </w:r>
          </w:p>
        </w:tc>
        <w:tc>
          <w:tcPr>
            <w:tcW w:w="1843" w:type="dxa"/>
            <w:tcBorders>
              <w:top w:val="nil"/>
              <w:left w:val="nil"/>
              <w:bottom w:val="nil"/>
              <w:right w:val="nil"/>
            </w:tcBorders>
            <w:shd w:val="clear" w:color="000000" w:fill="D9D9D9"/>
            <w:noWrap/>
            <w:vAlign w:val="center"/>
            <w:hideMark/>
          </w:tcPr>
          <w:p w14:paraId="3B64C81C" w14:textId="77777777" w:rsidR="003A6A51" w:rsidRPr="00D71342" w:rsidRDefault="003A6A51" w:rsidP="00CD1C51">
            <w:pPr>
              <w:ind w:left="72" w:right="72"/>
              <w:jc w:val="center"/>
              <w:rPr>
                <w:kern w:val="2"/>
                <w:sz w:val="14"/>
                <w:szCs w:val="14"/>
                <w14:ligatures w14:val="standardContextual"/>
              </w:rPr>
            </w:pPr>
            <w:r w:rsidRPr="00D71342">
              <w:rPr>
                <w:kern w:val="2"/>
                <w:sz w:val="14"/>
                <w:szCs w:val="14"/>
                <w14:ligatures w14:val="standardContextual"/>
              </w:rPr>
              <w:t>1</w:t>
            </w:r>
          </w:p>
        </w:tc>
        <w:tc>
          <w:tcPr>
            <w:tcW w:w="2126" w:type="dxa"/>
            <w:tcBorders>
              <w:top w:val="nil"/>
              <w:left w:val="nil"/>
              <w:bottom w:val="nil"/>
              <w:right w:val="nil"/>
            </w:tcBorders>
            <w:shd w:val="clear" w:color="000000" w:fill="D9D9D9"/>
            <w:noWrap/>
            <w:vAlign w:val="center"/>
            <w:hideMark/>
          </w:tcPr>
          <w:p w14:paraId="245DBDD4" w14:textId="77777777" w:rsidR="003A6A51" w:rsidRPr="00D71342" w:rsidRDefault="003A6A51" w:rsidP="00CD1C51">
            <w:pPr>
              <w:ind w:left="72" w:right="72"/>
              <w:jc w:val="center"/>
              <w:rPr>
                <w:kern w:val="2"/>
                <w:sz w:val="14"/>
                <w:szCs w:val="14"/>
                <w14:ligatures w14:val="standardContextual"/>
              </w:rPr>
            </w:pPr>
            <w:r w:rsidRPr="00D71342">
              <w:rPr>
                <w:kern w:val="2"/>
                <w:sz w:val="14"/>
                <w:szCs w:val="14"/>
                <w14:ligatures w14:val="standardContextual"/>
              </w:rPr>
              <w:t>223</w:t>
            </w:r>
          </w:p>
        </w:tc>
      </w:tr>
      <w:tr w:rsidR="00D71342" w:rsidRPr="00D71342" w14:paraId="25B25B95" w14:textId="77777777" w:rsidTr="00CD1C51">
        <w:trPr>
          <w:trHeight w:val="64"/>
        </w:trPr>
        <w:tc>
          <w:tcPr>
            <w:tcW w:w="425" w:type="dxa"/>
            <w:tcBorders>
              <w:top w:val="nil"/>
              <w:left w:val="nil"/>
              <w:bottom w:val="nil"/>
              <w:right w:val="nil"/>
            </w:tcBorders>
            <w:noWrap/>
            <w:vAlign w:val="center"/>
            <w:hideMark/>
          </w:tcPr>
          <w:p w14:paraId="5C9249E8" w14:textId="77777777" w:rsidR="003A6A51" w:rsidRPr="00D71342" w:rsidRDefault="003A6A51" w:rsidP="00CD1C51">
            <w:pPr>
              <w:ind w:firstLine="2"/>
              <w:jc w:val="center"/>
              <w:rPr>
                <w:kern w:val="2"/>
                <w:sz w:val="14"/>
                <w:szCs w:val="14"/>
                <w14:ligatures w14:val="standardContextual"/>
              </w:rPr>
            </w:pPr>
            <w:r w:rsidRPr="00D71342">
              <w:rPr>
                <w:kern w:val="2"/>
                <w:sz w:val="14"/>
                <w:szCs w:val="14"/>
                <w14:ligatures w14:val="standardContextual"/>
              </w:rPr>
              <w:t>4</w:t>
            </w:r>
          </w:p>
        </w:tc>
        <w:tc>
          <w:tcPr>
            <w:tcW w:w="2126" w:type="dxa"/>
            <w:tcBorders>
              <w:top w:val="nil"/>
              <w:left w:val="nil"/>
              <w:bottom w:val="nil"/>
              <w:right w:val="nil"/>
            </w:tcBorders>
            <w:noWrap/>
            <w:vAlign w:val="center"/>
            <w:hideMark/>
          </w:tcPr>
          <w:p w14:paraId="732A2238" w14:textId="77777777" w:rsidR="003A6A51" w:rsidRPr="00D71342" w:rsidRDefault="003A6A51" w:rsidP="00CD1C51">
            <w:pPr>
              <w:ind w:left="72" w:right="213"/>
              <w:rPr>
                <w:kern w:val="2"/>
                <w:sz w:val="14"/>
                <w:szCs w:val="14"/>
                <w14:ligatures w14:val="standardContextual"/>
              </w:rPr>
            </w:pPr>
            <w:r w:rsidRPr="00D71342">
              <w:rPr>
                <w:kern w:val="2"/>
                <w:sz w:val="14"/>
                <w:szCs w:val="14"/>
                <w14:ligatures w14:val="standardContextual"/>
              </w:rPr>
              <w:t>Bélaïd, Fateh</w:t>
            </w:r>
          </w:p>
        </w:tc>
        <w:tc>
          <w:tcPr>
            <w:tcW w:w="3402" w:type="dxa"/>
            <w:tcBorders>
              <w:top w:val="nil"/>
              <w:left w:val="nil"/>
              <w:bottom w:val="nil"/>
              <w:right w:val="nil"/>
            </w:tcBorders>
            <w:vAlign w:val="center"/>
            <w:hideMark/>
          </w:tcPr>
          <w:p w14:paraId="326FAF7D" w14:textId="77777777" w:rsidR="003A6A51" w:rsidRPr="00D71342" w:rsidRDefault="003A6A51" w:rsidP="00CD1C51">
            <w:pPr>
              <w:ind w:left="72" w:right="72" w:firstLine="2"/>
              <w:rPr>
                <w:kern w:val="2"/>
                <w:sz w:val="14"/>
                <w:szCs w:val="14"/>
                <w14:ligatures w14:val="standardContextual"/>
              </w:rPr>
            </w:pPr>
            <w:r w:rsidRPr="00D71342">
              <w:rPr>
                <w:kern w:val="2"/>
                <w:sz w:val="14"/>
                <w:szCs w:val="14"/>
                <w14:ligatures w14:val="standardContextual"/>
              </w:rPr>
              <w:t>Investigador asociado al Centro de Estudios e Investigación del Petróleo Rey Abdullah</w:t>
            </w:r>
          </w:p>
        </w:tc>
        <w:tc>
          <w:tcPr>
            <w:tcW w:w="1843" w:type="dxa"/>
            <w:tcBorders>
              <w:top w:val="nil"/>
              <w:left w:val="nil"/>
              <w:bottom w:val="nil"/>
              <w:right w:val="nil"/>
            </w:tcBorders>
            <w:noWrap/>
            <w:vAlign w:val="center"/>
            <w:hideMark/>
          </w:tcPr>
          <w:p w14:paraId="01AC0C88" w14:textId="77777777" w:rsidR="003A6A51" w:rsidRPr="00D71342" w:rsidRDefault="003A6A51" w:rsidP="00CD1C51">
            <w:pPr>
              <w:ind w:left="72" w:right="72"/>
              <w:jc w:val="center"/>
              <w:rPr>
                <w:kern w:val="2"/>
                <w:sz w:val="14"/>
                <w:szCs w:val="14"/>
                <w14:ligatures w14:val="standardContextual"/>
              </w:rPr>
            </w:pPr>
            <w:r w:rsidRPr="00D71342">
              <w:rPr>
                <w:kern w:val="2"/>
                <w:sz w:val="14"/>
                <w:szCs w:val="14"/>
                <w14:ligatures w14:val="standardContextual"/>
              </w:rPr>
              <w:t>1</w:t>
            </w:r>
          </w:p>
        </w:tc>
        <w:tc>
          <w:tcPr>
            <w:tcW w:w="2126" w:type="dxa"/>
            <w:tcBorders>
              <w:top w:val="nil"/>
              <w:left w:val="nil"/>
              <w:bottom w:val="nil"/>
              <w:right w:val="nil"/>
            </w:tcBorders>
            <w:noWrap/>
            <w:vAlign w:val="center"/>
            <w:hideMark/>
          </w:tcPr>
          <w:p w14:paraId="406960C6" w14:textId="77777777" w:rsidR="003A6A51" w:rsidRPr="00D71342" w:rsidRDefault="003A6A51" w:rsidP="00CD1C51">
            <w:pPr>
              <w:ind w:left="72" w:right="72"/>
              <w:jc w:val="center"/>
              <w:rPr>
                <w:kern w:val="2"/>
                <w:sz w:val="14"/>
                <w:szCs w:val="14"/>
                <w14:ligatures w14:val="standardContextual"/>
              </w:rPr>
            </w:pPr>
            <w:r w:rsidRPr="00D71342">
              <w:rPr>
                <w:kern w:val="2"/>
                <w:sz w:val="14"/>
                <w:szCs w:val="14"/>
                <w14:ligatures w14:val="standardContextual"/>
              </w:rPr>
              <w:t>223</w:t>
            </w:r>
          </w:p>
        </w:tc>
      </w:tr>
      <w:tr w:rsidR="00D71342" w:rsidRPr="00D71342" w14:paraId="17E42FC2" w14:textId="77777777" w:rsidTr="00CD1C51">
        <w:trPr>
          <w:trHeight w:val="64"/>
        </w:trPr>
        <w:tc>
          <w:tcPr>
            <w:tcW w:w="425" w:type="dxa"/>
            <w:tcBorders>
              <w:top w:val="nil"/>
              <w:left w:val="nil"/>
              <w:bottom w:val="nil"/>
              <w:right w:val="nil"/>
            </w:tcBorders>
            <w:shd w:val="clear" w:color="000000" w:fill="D9D9D9"/>
            <w:noWrap/>
            <w:vAlign w:val="center"/>
            <w:hideMark/>
          </w:tcPr>
          <w:p w14:paraId="467030D4" w14:textId="77777777" w:rsidR="003A6A51" w:rsidRPr="00D71342" w:rsidRDefault="003A6A51" w:rsidP="00CD1C51">
            <w:pPr>
              <w:ind w:firstLine="2"/>
              <w:jc w:val="center"/>
              <w:rPr>
                <w:kern w:val="2"/>
                <w:sz w:val="14"/>
                <w:szCs w:val="14"/>
                <w14:ligatures w14:val="standardContextual"/>
              </w:rPr>
            </w:pPr>
            <w:r w:rsidRPr="00D71342">
              <w:rPr>
                <w:kern w:val="2"/>
                <w:sz w:val="14"/>
                <w:szCs w:val="14"/>
                <w14:ligatures w14:val="standardContextual"/>
              </w:rPr>
              <w:t>5</w:t>
            </w:r>
          </w:p>
        </w:tc>
        <w:tc>
          <w:tcPr>
            <w:tcW w:w="2126" w:type="dxa"/>
            <w:tcBorders>
              <w:top w:val="nil"/>
              <w:left w:val="nil"/>
              <w:bottom w:val="nil"/>
              <w:right w:val="nil"/>
            </w:tcBorders>
            <w:shd w:val="clear" w:color="000000" w:fill="D9D9D9"/>
            <w:noWrap/>
            <w:vAlign w:val="center"/>
            <w:hideMark/>
          </w:tcPr>
          <w:p w14:paraId="590E1CB7" w14:textId="77777777" w:rsidR="003A6A51" w:rsidRPr="00D71342" w:rsidRDefault="003A6A51" w:rsidP="00CD1C51">
            <w:pPr>
              <w:ind w:left="72" w:right="213"/>
              <w:rPr>
                <w:kern w:val="2"/>
                <w:sz w:val="14"/>
                <w:szCs w:val="14"/>
                <w14:ligatures w14:val="standardContextual"/>
              </w:rPr>
            </w:pPr>
            <w:r w:rsidRPr="00D71342">
              <w:rPr>
                <w:kern w:val="2"/>
                <w:sz w:val="14"/>
                <w:szCs w:val="14"/>
                <w14:ligatures w14:val="standardContextual"/>
              </w:rPr>
              <w:t>Mondal, Sourav</w:t>
            </w:r>
          </w:p>
        </w:tc>
        <w:tc>
          <w:tcPr>
            <w:tcW w:w="3402" w:type="dxa"/>
            <w:tcBorders>
              <w:top w:val="nil"/>
              <w:left w:val="nil"/>
              <w:bottom w:val="nil"/>
              <w:right w:val="nil"/>
            </w:tcBorders>
            <w:shd w:val="clear" w:color="000000" w:fill="D9D9D9"/>
            <w:vAlign w:val="center"/>
            <w:hideMark/>
          </w:tcPr>
          <w:p w14:paraId="0D70814F" w14:textId="77777777" w:rsidR="003A6A51" w:rsidRPr="00D71342" w:rsidRDefault="003A6A51" w:rsidP="00CD1C51">
            <w:pPr>
              <w:ind w:left="72" w:right="72" w:firstLine="2"/>
              <w:rPr>
                <w:kern w:val="2"/>
                <w:sz w:val="14"/>
                <w:szCs w:val="14"/>
                <w14:ligatures w14:val="standardContextual"/>
              </w:rPr>
            </w:pPr>
            <w:r w:rsidRPr="00D71342">
              <w:rPr>
                <w:kern w:val="2"/>
                <w:sz w:val="14"/>
                <w:szCs w:val="14"/>
                <w14:ligatures w14:val="standardContextual"/>
              </w:rPr>
              <w:t>Investigador Senior en el Departamento de Estudios de Administración e Ingeniería Industrial del Instituto Indio de Tecnología</w:t>
            </w:r>
          </w:p>
        </w:tc>
        <w:tc>
          <w:tcPr>
            <w:tcW w:w="1843" w:type="dxa"/>
            <w:tcBorders>
              <w:top w:val="nil"/>
              <w:left w:val="nil"/>
              <w:bottom w:val="nil"/>
              <w:right w:val="nil"/>
            </w:tcBorders>
            <w:shd w:val="clear" w:color="000000" w:fill="D9D9D9"/>
            <w:noWrap/>
            <w:vAlign w:val="center"/>
            <w:hideMark/>
          </w:tcPr>
          <w:p w14:paraId="301D6B99" w14:textId="77777777" w:rsidR="003A6A51" w:rsidRPr="00D71342" w:rsidRDefault="003A6A51" w:rsidP="00CD1C51">
            <w:pPr>
              <w:ind w:left="72" w:right="72"/>
              <w:jc w:val="center"/>
              <w:rPr>
                <w:kern w:val="2"/>
                <w:sz w:val="14"/>
                <w:szCs w:val="14"/>
                <w14:ligatures w14:val="standardContextual"/>
              </w:rPr>
            </w:pPr>
            <w:r w:rsidRPr="00D71342">
              <w:rPr>
                <w:kern w:val="2"/>
                <w:sz w:val="14"/>
                <w:szCs w:val="14"/>
                <w14:ligatures w14:val="standardContextual"/>
              </w:rPr>
              <w:t>5</w:t>
            </w:r>
          </w:p>
        </w:tc>
        <w:tc>
          <w:tcPr>
            <w:tcW w:w="2126" w:type="dxa"/>
            <w:tcBorders>
              <w:top w:val="nil"/>
              <w:left w:val="nil"/>
              <w:bottom w:val="nil"/>
              <w:right w:val="nil"/>
            </w:tcBorders>
            <w:shd w:val="clear" w:color="000000" w:fill="D9D9D9"/>
            <w:noWrap/>
            <w:vAlign w:val="center"/>
            <w:hideMark/>
          </w:tcPr>
          <w:p w14:paraId="73B59363" w14:textId="77777777" w:rsidR="003A6A51" w:rsidRPr="00D71342" w:rsidRDefault="003A6A51" w:rsidP="00CD1C51">
            <w:pPr>
              <w:ind w:left="72" w:right="72"/>
              <w:jc w:val="center"/>
              <w:rPr>
                <w:kern w:val="2"/>
                <w:sz w:val="14"/>
                <w:szCs w:val="14"/>
                <w14:ligatures w14:val="standardContextual"/>
              </w:rPr>
            </w:pPr>
            <w:r w:rsidRPr="00D71342">
              <w:rPr>
                <w:kern w:val="2"/>
                <w:sz w:val="14"/>
                <w:szCs w:val="14"/>
                <w14:ligatures w14:val="standardContextual"/>
              </w:rPr>
              <w:t>201</w:t>
            </w:r>
          </w:p>
        </w:tc>
      </w:tr>
      <w:tr w:rsidR="00D71342" w:rsidRPr="00D71342" w14:paraId="5CEAFFB0" w14:textId="77777777" w:rsidTr="00CD1C51">
        <w:trPr>
          <w:trHeight w:val="64"/>
        </w:trPr>
        <w:tc>
          <w:tcPr>
            <w:tcW w:w="425" w:type="dxa"/>
            <w:tcBorders>
              <w:top w:val="nil"/>
              <w:left w:val="nil"/>
              <w:bottom w:val="nil"/>
              <w:right w:val="nil"/>
            </w:tcBorders>
            <w:noWrap/>
            <w:vAlign w:val="center"/>
            <w:hideMark/>
          </w:tcPr>
          <w:p w14:paraId="2808E372" w14:textId="77777777" w:rsidR="003A6A51" w:rsidRPr="00D71342" w:rsidRDefault="003A6A51" w:rsidP="00CD1C51">
            <w:pPr>
              <w:ind w:firstLine="2"/>
              <w:jc w:val="center"/>
              <w:rPr>
                <w:kern w:val="2"/>
                <w:sz w:val="14"/>
                <w:szCs w:val="14"/>
                <w14:ligatures w14:val="standardContextual"/>
              </w:rPr>
            </w:pPr>
            <w:r w:rsidRPr="00D71342">
              <w:rPr>
                <w:kern w:val="2"/>
                <w:sz w:val="14"/>
                <w:szCs w:val="14"/>
                <w14:ligatures w14:val="standardContextual"/>
              </w:rPr>
              <w:t>6</w:t>
            </w:r>
          </w:p>
        </w:tc>
        <w:tc>
          <w:tcPr>
            <w:tcW w:w="2126" w:type="dxa"/>
            <w:tcBorders>
              <w:top w:val="nil"/>
              <w:left w:val="nil"/>
              <w:bottom w:val="nil"/>
              <w:right w:val="nil"/>
            </w:tcBorders>
            <w:noWrap/>
            <w:vAlign w:val="center"/>
            <w:hideMark/>
          </w:tcPr>
          <w:p w14:paraId="780A4834" w14:textId="77777777" w:rsidR="003A6A51" w:rsidRPr="00D71342" w:rsidRDefault="003A6A51" w:rsidP="00CD1C51">
            <w:pPr>
              <w:ind w:left="72" w:right="213"/>
              <w:rPr>
                <w:kern w:val="2"/>
                <w:sz w:val="14"/>
                <w:szCs w:val="14"/>
                <w14:ligatures w14:val="standardContextual"/>
              </w:rPr>
            </w:pPr>
            <w:r w:rsidRPr="00D71342">
              <w:rPr>
                <w:kern w:val="2"/>
                <w:sz w:val="14"/>
                <w:szCs w:val="14"/>
                <w14:ligatures w14:val="standardContextual"/>
              </w:rPr>
              <w:t>Singh, Saumya</w:t>
            </w:r>
          </w:p>
        </w:tc>
        <w:tc>
          <w:tcPr>
            <w:tcW w:w="3402" w:type="dxa"/>
            <w:tcBorders>
              <w:top w:val="nil"/>
              <w:left w:val="nil"/>
              <w:bottom w:val="nil"/>
              <w:right w:val="nil"/>
            </w:tcBorders>
            <w:vAlign w:val="center"/>
            <w:hideMark/>
          </w:tcPr>
          <w:p w14:paraId="3D80F125" w14:textId="77777777" w:rsidR="003A6A51" w:rsidRPr="00D71342" w:rsidRDefault="003A6A51" w:rsidP="00CD1C51">
            <w:pPr>
              <w:ind w:left="72" w:right="72" w:firstLine="2"/>
              <w:rPr>
                <w:kern w:val="2"/>
                <w:sz w:val="14"/>
                <w:szCs w:val="14"/>
                <w14:ligatures w14:val="standardContextual"/>
              </w:rPr>
            </w:pPr>
            <w:r w:rsidRPr="00D71342">
              <w:rPr>
                <w:kern w:val="2"/>
                <w:sz w:val="14"/>
                <w:szCs w:val="14"/>
                <w14:ligatures w14:val="standardContextual"/>
              </w:rPr>
              <w:t>Profesora asociada en el Departamento de Estudios de Administración e Ingeniería Industrial del Instituto Indio de Tecnología</w:t>
            </w:r>
          </w:p>
        </w:tc>
        <w:tc>
          <w:tcPr>
            <w:tcW w:w="1843" w:type="dxa"/>
            <w:tcBorders>
              <w:top w:val="nil"/>
              <w:left w:val="nil"/>
              <w:bottom w:val="nil"/>
              <w:right w:val="nil"/>
            </w:tcBorders>
            <w:noWrap/>
            <w:vAlign w:val="center"/>
            <w:hideMark/>
          </w:tcPr>
          <w:p w14:paraId="16AFF4D5" w14:textId="77777777" w:rsidR="003A6A51" w:rsidRPr="00D71342" w:rsidRDefault="003A6A51" w:rsidP="00CD1C51">
            <w:pPr>
              <w:ind w:left="72" w:right="72"/>
              <w:jc w:val="center"/>
              <w:rPr>
                <w:kern w:val="2"/>
                <w:sz w:val="14"/>
                <w:szCs w:val="14"/>
                <w14:ligatures w14:val="standardContextual"/>
              </w:rPr>
            </w:pPr>
            <w:r w:rsidRPr="00D71342">
              <w:rPr>
                <w:kern w:val="2"/>
                <w:sz w:val="14"/>
                <w:szCs w:val="14"/>
                <w14:ligatures w14:val="standardContextual"/>
              </w:rPr>
              <w:t>5</w:t>
            </w:r>
          </w:p>
        </w:tc>
        <w:tc>
          <w:tcPr>
            <w:tcW w:w="2126" w:type="dxa"/>
            <w:tcBorders>
              <w:top w:val="nil"/>
              <w:left w:val="nil"/>
              <w:bottom w:val="nil"/>
              <w:right w:val="nil"/>
            </w:tcBorders>
            <w:noWrap/>
            <w:vAlign w:val="center"/>
            <w:hideMark/>
          </w:tcPr>
          <w:p w14:paraId="7750416E" w14:textId="77777777" w:rsidR="003A6A51" w:rsidRPr="00D71342" w:rsidRDefault="003A6A51" w:rsidP="00CD1C51">
            <w:pPr>
              <w:ind w:left="72" w:right="72"/>
              <w:jc w:val="center"/>
              <w:rPr>
                <w:kern w:val="2"/>
                <w:sz w:val="14"/>
                <w:szCs w:val="14"/>
                <w14:ligatures w14:val="standardContextual"/>
              </w:rPr>
            </w:pPr>
            <w:r w:rsidRPr="00D71342">
              <w:rPr>
                <w:kern w:val="2"/>
                <w:sz w:val="14"/>
                <w:szCs w:val="14"/>
                <w14:ligatures w14:val="standardContextual"/>
              </w:rPr>
              <w:t>201</w:t>
            </w:r>
          </w:p>
        </w:tc>
      </w:tr>
      <w:tr w:rsidR="00D71342" w:rsidRPr="00D71342" w14:paraId="0D2A15A2" w14:textId="77777777" w:rsidTr="00CD1C51">
        <w:trPr>
          <w:trHeight w:val="64"/>
        </w:trPr>
        <w:tc>
          <w:tcPr>
            <w:tcW w:w="425" w:type="dxa"/>
            <w:tcBorders>
              <w:top w:val="nil"/>
              <w:left w:val="nil"/>
              <w:bottom w:val="nil"/>
              <w:right w:val="nil"/>
            </w:tcBorders>
            <w:shd w:val="clear" w:color="000000" w:fill="D9D9D9"/>
            <w:noWrap/>
            <w:vAlign w:val="center"/>
            <w:hideMark/>
          </w:tcPr>
          <w:p w14:paraId="3E5FDDFA" w14:textId="77777777" w:rsidR="003A6A51" w:rsidRPr="00D71342" w:rsidRDefault="003A6A51" w:rsidP="00CD1C51">
            <w:pPr>
              <w:ind w:firstLine="2"/>
              <w:jc w:val="center"/>
              <w:rPr>
                <w:kern w:val="2"/>
                <w:sz w:val="14"/>
                <w:szCs w:val="14"/>
                <w14:ligatures w14:val="standardContextual"/>
              </w:rPr>
            </w:pPr>
            <w:r w:rsidRPr="00D71342">
              <w:rPr>
                <w:kern w:val="2"/>
                <w:sz w:val="14"/>
                <w:szCs w:val="14"/>
                <w14:ligatures w14:val="standardContextual"/>
              </w:rPr>
              <w:t>7</w:t>
            </w:r>
          </w:p>
        </w:tc>
        <w:tc>
          <w:tcPr>
            <w:tcW w:w="2126" w:type="dxa"/>
            <w:tcBorders>
              <w:top w:val="nil"/>
              <w:left w:val="nil"/>
              <w:bottom w:val="nil"/>
              <w:right w:val="nil"/>
            </w:tcBorders>
            <w:shd w:val="clear" w:color="000000" w:fill="D9D9D9"/>
            <w:noWrap/>
            <w:vAlign w:val="center"/>
            <w:hideMark/>
          </w:tcPr>
          <w:p w14:paraId="7ED38DE4" w14:textId="77777777" w:rsidR="003A6A51" w:rsidRPr="00D71342" w:rsidRDefault="003A6A51" w:rsidP="00CD1C51">
            <w:pPr>
              <w:ind w:left="72" w:right="213"/>
              <w:rPr>
                <w:kern w:val="2"/>
                <w:sz w:val="14"/>
                <w:szCs w:val="14"/>
                <w14:ligatures w14:val="standardContextual"/>
              </w:rPr>
            </w:pPr>
            <w:r w:rsidRPr="00D71342">
              <w:rPr>
                <w:kern w:val="2"/>
                <w:sz w:val="14"/>
                <w:szCs w:val="14"/>
                <w14:ligatures w14:val="standardContextual"/>
              </w:rPr>
              <w:t>Gupta, Himanshu</w:t>
            </w:r>
          </w:p>
        </w:tc>
        <w:tc>
          <w:tcPr>
            <w:tcW w:w="3402" w:type="dxa"/>
            <w:tcBorders>
              <w:top w:val="nil"/>
              <w:left w:val="nil"/>
              <w:bottom w:val="nil"/>
              <w:right w:val="nil"/>
            </w:tcBorders>
            <w:shd w:val="clear" w:color="000000" w:fill="D9D9D9"/>
            <w:vAlign w:val="center"/>
            <w:hideMark/>
          </w:tcPr>
          <w:p w14:paraId="14F76E60" w14:textId="77777777" w:rsidR="003A6A51" w:rsidRPr="00D71342" w:rsidRDefault="003A6A51" w:rsidP="00CD1C51">
            <w:pPr>
              <w:ind w:left="72" w:right="72" w:firstLine="2"/>
              <w:rPr>
                <w:kern w:val="2"/>
                <w:sz w:val="14"/>
                <w:szCs w:val="14"/>
                <w14:ligatures w14:val="standardContextual"/>
              </w:rPr>
            </w:pPr>
            <w:r w:rsidRPr="00D71342">
              <w:rPr>
                <w:kern w:val="2"/>
                <w:sz w:val="14"/>
                <w:szCs w:val="14"/>
                <w14:ligatures w14:val="standardContextual"/>
              </w:rPr>
              <w:t>Profesor asistente en el Departamento de Estudios de Administración e Ingeniería Industrial del Instituto Indio de Tecnología</w:t>
            </w:r>
          </w:p>
        </w:tc>
        <w:tc>
          <w:tcPr>
            <w:tcW w:w="1843" w:type="dxa"/>
            <w:tcBorders>
              <w:top w:val="nil"/>
              <w:left w:val="nil"/>
              <w:bottom w:val="nil"/>
              <w:right w:val="nil"/>
            </w:tcBorders>
            <w:shd w:val="clear" w:color="000000" w:fill="D9D9D9"/>
            <w:noWrap/>
            <w:vAlign w:val="center"/>
            <w:hideMark/>
          </w:tcPr>
          <w:p w14:paraId="735206CE" w14:textId="77777777" w:rsidR="003A6A51" w:rsidRPr="00D71342" w:rsidRDefault="003A6A51" w:rsidP="00CD1C51">
            <w:pPr>
              <w:ind w:left="72" w:right="72"/>
              <w:jc w:val="center"/>
              <w:rPr>
                <w:kern w:val="2"/>
                <w:sz w:val="14"/>
                <w:szCs w:val="14"/>
                <w14:ligatures w14:val="standardContextual"/>
              </w:rPr>
            </w:pPr>
            <w:r w:rsidRPr="00D71342">
              <w:rPr>
                <w:kern w:val="2"/>
                <w:sz w:val="14"/>
                <w:szCs w:val="14"/>
                <w14:ligatures w14:val="standardContextual"/>
              </w:rPr>
              <w:t>5</w:t>
            </w:r>
          </w:p>
        </w:tc>
        <w:tc>
          <w:tcPr>
            <w:tcW w:w="2126" w:type="dxa"/>
            <w:tcBorders>
              <w:top w:val="nil"/>
              <w:left w:val="nil"/>
              <w:bottom w:val="nil"/>
              <w:right w:val="nil"/>
            </w:tcBorders>
            <w:shd w:val="clear" w:color="000000" w:fill="D9D9D9"/>
            <w:noWrap/>
            <w:vAlign w:val="center"/>
            <w:hideMark/>
          </w:tcPr>
          <w:p w14:paraId="2CDBF3F0" w14:textId="77777777" w:rsidR="003A6A51" w:rsidRPr="00D71342" w:rsidRDefault="003A6A51" w:rsidP="00CD1C51">
            <w:pPr>
              <w:ind w:left="72" w:right="72"/>
              <w:jc w:val="center"/>
              <w:rPr>
                <w:kern w:val="2"/>
                <w:sz w:val="14"/>
                <w:szCs w:val="14"/>
                <w14:ligatures w14:val="standardContextual"/>
              </w:rPr>
            </w:pPr>
            <w:r w:rsidRPr="00D71342">
              <w:rPr>
                <w:kern w:val="2"/>
                <w:sz w:val="14"/>
                <w:szCs w:val="14"/>
                <w14:ligatures w14:val="standardContextual"/>
              </w:rPr>
              <w:t>201</w:t>
            </w:r>
          </w:p>
        </w:tc>
      </w:tr>
      <w:tr w:rsidR="00D71342" w:rsidRPr="00D71342" w14:paraId="55800BFC" w14:textId="77777777" w:rsidTr="00CD1C51">
        <w:trPr>
          <w:trHeight w:val="64"/>
        </w:trPr>
        <w:tc>
          <w:tcPr>
            <w:tcW w:w="425" w:type="dxa"/>
            <w:tcBorders>
              <w:top w:val="nil"/>
              <w:left w:val="nil"/>
              <w:bottom w:val="nil"/>
              <w:right w:val="nil"/>
            </w:tcBorders>
            <w:noWrap/>
            <w:vAlign w:val="center"/>
            <w:hideMark/>
          </w:tcPr>
          <w:p w14:paraId="228C9A5B" w14:textId="77777777" w:rsidR="003A6A51" w:rsidRPr="00D71342" w:rsidRDefault="003A6A51" w:rsidP="00CD1C51">
            <w:pPr>
              <w:ind w:firstLine="2"/>
              <w:jc w:val="center"/>
              <w:rPr>
                <w:kern w:val="2"/>
                <w:sz w:val="14"/>
                <w:szCs w:val="14"/>
                <w14:ligatures w14:val="standardContextual"/>
              </w:rPr>
            </w:pPr>
            <w:r w:rsidRPr="00D71342">
              <w:rPr>
                <w:kern w:val="2"/>
                <w:sz w:val="14"/>
                <w:szCs w:val="14"/>
                <w14:ligatures w14:val="standardContextual"/>
              </w:rPr>
              <w:t>8</w:t>
            </w:r>
          </w:p>
        </w:tc>
        <w:tc>
          <w:tcPr>
            <w:tcW w:w="2126" w:type="dxa"/>
            <w:tcBorders>
              <w:top w:val="nil"/>
              <w:left w:val="nil"/>
              <w:bottom w:val="nil"/>
              <w:right w:val="nil"/>
            </w:tcBorders>
            <w:noWrap/>
            <w:vAlign w:val="center"/>
            <w:hideMark/>
          </w:tcPr>
          <w:p w14:paraId="070A58DF" w14:textId="77777777" w:rsidR="003A6A51" w:rsidRPr="00D71342" w:rsidRDefault="003A6A51" w:rsidP="00CD1C51">
            <w:pPr>
              <w:ind w:left="72" w:right="213"/>
              <w:rPr>
                <w:kern w:val="2"/>
                <w:sz w:val="14"/>
                <w:szCs w:val="14"/>
                <w14:ligatures w14:val="standardContextual"/>
              </w:rPr>
            </w:pPr>
            <w:r w:rsidRPr="00D71342">
              <w:rPr>
                <w:kern w:val="2"/>
                <w:sz w:val="14"/>
                <w:szCs w:val="14"/>
                <w14:ligatures w14:val="standardContextual"/>
              </w:rPr>
              <w:t>Shehzad, Muhammad Usman</w:t>
            </w:r>
          </w:p>
        </w:tc>
        <w:tc>
          <w:tcPr>
            <w:tcW w:w="3402" w:type="dxa"/>
            <w:tcBorders>
              <w:top w:val="nil"/>
              <w:left w:val="nil"/>
              <w:bottom w:val="nil"/>
              <w:right w:val="nil"/>
            </w:tcBorders>
            <w:vAlign w:val="center"/>
            <w:hideMark/>
          </w:tcPr>
          <w:p w14:paraId="33002540" w14:textId="77777777" w:rsidR="003A6A51" w:rsidRPr="00D71342" w:rsidRDefault="003A6A51" w:rsidP="00CD1C51">
            <w:pPr>
              <w:ind w:left="72" w:right="72" w:firstLine="2"/>
              <w:rPr>
                <w:kern w:val="2"/>
                <w:sz w:val="14"/>
                <w:szCs w:val="14"/>
                <w14:ligatures w14:val="standardContextual"/>
              </w:rPr>
            </w:pPr>
            <w:r w:rsidRPr="00D71342">
              <w:rPr>
                <w:kern w:val="2"/>
                <w:sz w:val="14"/>
                <w:szCs w:val="14"/>
                <w14:ligatures w14:val="standardContextual"/>
              </w:rPr>
              <w:t>Investigador postdoctoral en la Universidad de Recursos Hídricos y Energía Eléctrica del Norte de China</w:t>
            </w:r>
          </w:p>
        </w:tc>
        <w:tc>
          <w:tcPr>
            <w:tcW w:w="1843" w:type="dxa"/>
            <w:tcBorders>
              <w:top w:val="nil"/>
              <w:left w:val="nil"/>
              <w:bottom w:val="nil"/>
              <w:right w:val="nil"/>
            </w:tcBorders>
            <w:noWrap/>
            <w:vAlign w:val="center"/>
            <w:hideMark/>
          </w:tcPr>
          <w:p w14:paraId="27A1D19B" w14:textId="77777777" w:rsidR="003A6A51" w:rsidRPr="00D71342" w:rsidRDefault="003A6A51" w:rsidP="00CD1C51">
            <w:pPr>
              <w:ind w:left="72" w:right="72"/>
              <w:jc w:val="center"/>
              <w:rPr>
                <w:kern w:val="2"/>
                <w:sz w:val="14"/>
                <w:szCs w:val="14"/>
                <w14:ligatures w14:val="standardContextual"/>
              </w:rPr>
            </w:pPr>
            <w:r w:rsidRPr="00D71342">
              <w:rPr>
                <w:kern w:val="2"/>
                <w:sz w:val="14"/>
                <w:szCs w:val="14"/>
                <w14:ligatures w14:val="standardContextual"/>
              </w:rPr>
              <w:t>2</w:t>
            </w:r>
          </w:p>
        </w:tc>
        <w:tc>
          <w:tcPr>
            <w:tcW w:w="2126" w:type="dxa"/>
            <w:tcBorders>
              <w:top w:val="nil"/>
              <w:left w:val="nil"/>
              <w:bottom w:val="nil"/>
              <w:right w:val="nil"/>
            </w:tcBorders>
            <w:noWrap/>
            <w:vAlign w:val="center"/>
            <w:hideMark/>
          </w:tcPr>
          <w:p w14:paraId="05F2FA7C" w14:textId="77777777" w:rsidR="003A6A51" w:rsidRPr="00D71342" w:rsidRDefault="003A6A51" w:rsidP="00CD1C51">
            <w:pPr>
              <w:ind w:left="72" w:right="72"/>
              <w:jc w:val="center"/>
              <w:rPr>
                <w:kern w:val="2"/>
                <w:sz w:val="14"/>
                <w:szCs w:val="14"/>
                <w14:ligatures w14:val="standardContextual"/>
              </w:rPr>
            </w:pPr>
            <w:r w:rsidRPr="00D71342">
              <w:rPr>
                <w:kern w:val="2"/>
                <w:sz w:val="14"/>
                <w:szCs w:val="14"/>
                <w14:ligatures w14:val="standardContextual"/>
              </w:rPr>
              <w:t>190</w:t>
            </w:r>
          </w:p>
        </w:tc>
      </w:tr>
      <w:tr w:rsidR="00D71342" w:rsidRPr="00D71342" w14:paraId="64C6E15D" w14:textId="77777777" w:rsidTr="00CD1C51">
        <w:trPr>
          <w:trHeight w:val="64"/>
        </w:trPr>
        <w:tc>
          <w:tcPr>
            <w:tcW w:w="425" w:type="dxa"/>
            <w:tcBorders>
              <w:top w:val="nil"/>
              <w:left w:val="nil"/>
              <w:right w:val="nil"/>
            </w:tcBorders>
            <w:shd w:val="clear" w:color="000000" w:fill="D9D9D9"/>
            <w:noWrap/>
            <w:vAlign w:val="center"/>
            <w:hideMark/>
          </w:tcPr>
          <w:p w14:paraId="2C58B171" w14:textId="77777777" w:rsidR="003A6A51" w:rsidRPr="00D71342" w:rsidRDefault="003A6A51" w:rsidP="00CD1C51">
            <w:pPr>
              <w:ind w:firstLine="2"/>
              <w:jc w:val="center"/>
              <w:rPr>
                <w:kern w:val="2"/>
                <w:sz w:val="14"/>
                <w:szCs w:val="14"/>
                <w14:ligatures w14:val="standardContextual"/>
              </w:rPr>
            </w:pPr>
            <w:r w:rsidRPr="00D71342">
              <w:rPr>
                <w:kern w:val="2"/>
                <w:sz w:val="14"/>
                <w:szCs w:val="14"/>
                <w14:ligatures w14:val="standardContextual"/>
              </w:rPr>
              <w:t>9</w:t>
            </w:r>
          </w:p>
        </w:tc>
        <w:tc>
          <w:tcPr>
            <w:tcW w:w="2126" w:type="dxa"/>
            <w:tcBorders>
              <w:top w:val="nil"/>
              <w:left w:val="nil"/>
              <w:right w:val="nil"/>
            </w:tcBorders>
            <w:shd w:val="clear" w:color="000000" w:fill="D9D9D9"/>
            <w:noWrap/>
            <w:vAlign w:val="center"/>
            <w:hideMark/>
          </w:tcPr>
          <w:p w14:paraId="619C0F4B" w14:textId="77777777" w:rsidR="003A6A51" w:rsidRPr="00D71342" w:rsidRDefault="003A6A51" w:rsidP="00CD1C51">
            <w:pPr>
              <w:ind w:left="72" w:right="213"/>
              <w:rPr>
                <w:kern w:val="2"/>
                <w:sz w:val="14"/>
                <w:szCs w:val="14"/>
                <w14:ligatures w14:val="standardContextual"/>
              </w:rPr>
            </w:pPr>
            <w:r w:rsidRPr="00D71342">
              <w:rPr>
                <w:kern w:val="2"/>
                <w:sz w:val="14"/>
                <w:szCs w:val="14"/>
                <w14:ligatures w14:val="standardContextual"/>
              </w:rPr>
              <w:t>Zhang, Jianhua</w:t>
            </w:r>
          </w:p>
        </w:tc>
        <w:tc>
          <w:tcPr>
            <w:tcW w:w="3402" w:type="dxa"/>
            <w:tcBorders>
              <w:top w:val="nil"/>
              <w:left w:val="nil"/>
              <w:right w:val="nil"/>
            </w:tcBorders>
            <w:shd w:val="clear" w:color="000000" w:fill="D9D9D9"/>
            <w:vAlign w:val="center"/>
            <w:hideMark/>
          </w:tcPr>
          <w:p w14:paraId="3B03A8E2" w14:textId="77777777" w:rsidR="003A6A51" w:rsidRPr="00D71342" w:rsidRDefault="003A6A51" w:rsidP="00CD1C51">
            <w:pPr>
              <w:ind w:left="72" w:right="72" w:firstLine="2"/>
              <w:rPr>
                <w:kern w:val="2"/>
                <w:sz w:val="14"/>
                <w:szCs w:val="14"/>
                <w14:ligatures w14:val="standardContextual"/>
              </w:rPr>
            </w:pPr>
            <w:r w:rsidRPr="00D71342">
              <w:rPr>
                <w:kern w:val="2"/>
                <w:sz w:val="14"/>
                <w:szCs w:val="14"/>
                <w14:ligatures w14:val="standardContextual"/>
              </w:rPr>
              <w:t>Profesor y Supervisor de Doctorado en la Escuela de Administración de la Universidad de Zhengzhou</w:t>
            </w:r>
          </w:p>
        </w:tc>
        <w:tc>
          <w:tcPr>
            <w:tcW w:w="1843" w:type="dxa"/>
            <w:tcBorders>
              <w:top w:val="nil"/>
              <w:left w:val="nil"/>
              <w:right w:val="nil"/>
            </w:tcBorders>
            <w:shd w:val="clear" w:color="000000" w:fill="D9D9D9"/>
            <w:noWrap/>
            <w:vAlign w:val="center"/>
            <w:hideMark/>
          </w:tcPr>
          <w:p w14:paraId="1672AA84" w14:textId="77777777" w:rsidR="003A6A51" w:rsidRPr="00D71342" w:rsidRDefault="003A6A51" w:rsidP="00CD1C51">
            <w:pPr>
              <w:ind w:left="72" w:right="72"/>
              <w:jc w:val="center"/>
              <w:rPr>
                <w:kern w:val="2"/>
                <w:sz w:val="14"/>
                <w:szCs w:val="14"/>
                <w14:ligatures w14:val="standardContextual"/>
              </w:rPr>
            </w:pPr>
            <w:r w:rsidRPr="00D71342">
              <w:rPr>
                <w:kern w:val="2"/>
                <w:sz w:val="14"/>
                <w:szCs w:val="14"/>
                <w14:ligatures w14:val="standardContextual"/>
              </w:rPr>
              <w:t>1</w:t>
            </w:r>
          </w:p>
        </w:tc>
        <w:tc>
          <w:tcPr>
            <w:tcW w:w="2126" w:type="dxa"/>
            <w:tcBorders>
              <w:top w:val="nil"/>
              <w:left w:val="nil"/>
              <w:right w:val="nil"/>
            </w:tcBorders>
            <w:shd w:val="clear" w:color="000000" w:fill="D9D9D9"/>
            <w:noWrap/>
            <w:vAlign w:val="center"/>
            <w:hideMark/>
          </w:tcPr>
          <w:p w14:paraId="48043736" w14:textId="77777777" w:rsidR="003A6A51" w:rsidRPr="00D71342" w:rsidRDefault="003A6A51" w:rsidP="00CD1C51">
            <w:pPr>
              <w:ind w:left="72" w:right="72"/>
              <w:jc w:val="center"/>
              <w:rPr>
                <w:kern w:val="2"/>
                <w:sz w:val="14"/>
                <w:szCs w:val="14"/>
                <w14:ligatures w14:val="standardContextual"/>
              </w:rPr>
            </w:pPr>
            <w:r w:rsidRPr="00D71342">
              <w:rPr>
                <w:kern w:val="2"/>
                <w:sz w:val="14"/>
                <w:szCs w:val="14"/>
                <w14:ligatures w14:val="standardContextual"/>
              </w:rPr>
              <w:t>155</w:t>
            </w:r>
          </w:p>
        </w:tc>
      </w:tr>
      <w:tr w:rsidR="006D6CE2" w:rsidRPr="00D71342" w14:paraId="102918D1" w14:textId="77777777" w:rsidTr="00CD1C51">
        <w:trPr>
          <w:trHeight w:val="64"/>
        </w:trPr>
        <w:tc>
          <w:tcPr>
            <w:tcW w:w="425" w:type="dxa"/>
            <w:tcBorders>
              <w:top w:val="nil"/>
              <w:left w:val="nil"/>
              <w:bottom w:val="single" w:sz="4" w:space="0" w:color="auto"/>
              <w:right w:val="nil"/>
            </w:tcBorders>
            <w:noWrap/>
            <w:vAlign w:val="center"/>
            <w:hideMark/>
          </w:tcPr>
          <w:p w14:paraId="3CC0A951" w14:textId="77777777" w:rsidR="003A6A51" w:rsidRPr="00D71342" w:rsidRDefault="003A6A51" w:rsidP="00CD1C51">
            <w:pPr>
              <w:ind w:firstLine="2"/>
              <w:jc w:val="center"/>
              <w:rPr>
                <w:kern w:val="2"/>
                <w:sz w:val="14"/>
                <w:szCs w:val="14"/>
                <w14:ligatures w14:val="standardContextual"/>
              </w:rPr>
            </w:pPr>
            <w:r w:rsidRPr="00D71342">
              <w:rPr>
                <w:kern w:val="2"/>
                <w:sz w:val="14"/>
                <w:szCs w:val="14"/>
                <w14:ligatures w14:val="standardContextual"/>
              </w:rPr>
              <w:t>10</w:t>
            </w:r>
          </w:p>
        </w:tc>
        <w:tc>
          <w:tcPr>
            <w:tcW w:w="2126" w:type="dxa"/>
            <w:tcBorders>
              <w:top w:val="nil"/>
              <w:left w:val="nil"/>
              <w:bottom w:val="single" w:sz="4" w:space="0" w:color="auto"/>
              <w:right w:val="nil"/>
            </w:tcBorders>
            <w:noWrap/>
            <w:vAlign w:val="center"/>
            <w:hideMark/>
          </w:tcPr>
          <w:p w14:paraId="462C5DEB" w14:textId="77777777" w:rsidR="003A6A51" w:rsidRPr="00D71342" w:rsidRDefault="003A6A51" w:rsidP="00CD1C51">
            <w:pPr>
              <w:ind w:left="72" w:right="213"/>
              <w:rPr>
                <w:kern w:val="2"/>
                <w:sz w:val="14"/>
                <w:szCs w:val="14"/>
                <w14:ligatures w14:val="standardContextual"/>
              </w:rPr>
            </w:pPr>
            <w:r w:rsidRPr="00D71342">
              <w:rPr>
                <w:kern w:val="2"/>
                <w:sz w:val="14"/>
                <w:szCs w:val="14"/>
                <w14:ligatures w14:val="standardContextual"/>
              </w:rPr>
              <w:t>Latif, Khawaja Fawad</w:t>
            </w:r>
          </w:p>
        </w:tc>
        <w:tc>
          <w:tcPr>
            <w:tcW w:w="3402" w:type="dxa"/>
            <w:tcBorders>
              <w:top w:val="nil"/>
              <w:left w:val="nil"/>
              <w:bottom w:val="single" w:sz="4" w:space="0" w:color="auto"/>
              <w:right w:val="nil"/>
            </w:tcBorders>
            <w:vAlign w:val="center"/>
            <w:hideMark/>
          </w:tcPr>
          <w:p w14:paraId="2F1BE3E1" w14:textId="77777777" w:rsidR="003A6A51" w:rsidRPr="00D71342" w:rsidRDefault="003A6A51" w:rsidP="00CD1C51">
            <w:pPr>
              <w:ind w:left="72" w:right="72" w:firstLine="2"/>
              <w:rPr>
                <w:kern w:val="2"/>
                <w:sz w:val="14"/>
                <w:szCs w:val="14"/>
                <w14:ligatures w14:val="standardContextual"/>
              </w:rPr>
            </w:pPr>
            <w:r w:rsidRPr="00D71342">
              <w:rPr>
                <w:kern w:val="2"/>
                <w:sz w:val="14"/>
                <w:szCs w:val="14"/>
                <w14:ligatures w14:val="standardContextual"/>
              </w:rPr>
              <w:t>Profesor asociado al Departamento de Ciencias Administrativas de la Universidad COMSATS de Islamabad</w:t>
            </w:r>
          </w:p>
        </w:tc>
        <w:tc>
          <w:tcPr>
            <w:tcW w:w="1843" w:type="dxa"/>
            <w:tcBorders>
              <w:top w:val="nil"/>
              <w:left w:val="nil"/>
              <w:bottom w:val="single" w:sz="4" w:space="0" w:color="auto"/>
              <w:right w:val="nil"/>
            </w:tcBorders>
            <w:noWrap/>
            <w:vAlign w:val="center"/>
            <w:hideMark/>
          </w:tcPr>
          <w:p w14:paraId="5C01EA9B" w14:textId="77777777" w:rsidR="003A6A51" w:rsidRPr="00D71342" w:rsidRDefault="003A6A51" w:rsidP="00CD1C51">
            <w:pPr>
              <w:ind w:left="72" w:right="72"/>
              <w:jc w:val="center"/>
              <w:rPr>
                <w:kern w:val="2"/>
                <w:sz w:val="14"/>
                <w:szCs w:val="14"/>
                <w14:ligatures w14:val="standardContextual"/>
              </w:rPr>
            </w:pPr>
            <w:r w:rsidRPr="00D71342">
              <w:rPr>
                <w:kern w:val="2"/>
                <w:sz w:val="14"/>
                <w:szCs w:val="14"/>
                <w14:ligatures w14:val="standardContextual"/>
              </w:rPr>
              <w:t>1</w:t>
            </w:r>
          </w:p>
        </w:tc>
        <w:tc>
          <w:tcPr>
            <w:tcW w:w="2126" w:type="dxa"/>
            <w:tcBorders>
              <w:top w:val="nil"/>
              <w:left w:val="nil"/>
              <w:bottom w:val="single" w:sz="4" w:space="0" w:color="auto"/>
              <w:right w:val="nil"/>
            </w:tcBorders>
            <w:noWrap/>
            <w:vAlign w:val="center"/>
            <w:hideMark/>
          </w:tcPr>
          <w:p w14:paraId="50921B2B" w14:textId="77777777" w:rsidR="003A6A51" w:rsidRPr="00D71342" w:rsidRDefault="003A6A51" w:rsidP="00CD1C51">
            <w:pPr>
              <w:ind w:left="72" w:right="72"/>
              <w:jc w:val="center"/>
              <w:rPr>
                <w:kern w:val="2"/>
                <w:sz w:val="14"/>
                <w:szCs w:val="14"/>
                <w14:ligatures w14:val="standardContextual"/>
              </w:rPr>
            </w:pPr>
            <w:r w:rsidRPr="00D71342">
              <w:rPr>
                <w:kern w:val="2"/>
                <w:sz w:val="14"/>
                <w:szCs w:val="14"/>
                <w14:ligatures w14:val="standardContextual"/>
              </w:rPr>
              <w:t>155</w:t>
            </w:r>
          </w:p>
        </w:tc>
      </w:tr>
    </w:tbl>
    <w:p w14:paraId="5CB23574" w14:textId="77777777" w:rsidR="003A6A51" w:rsidRPr="00D71342" w:rsidRDefault="003A6A51" w:rsidP="003A6A51">
      <w:pPr>
        <w:ind w:right="230"/>
        <w:rPr>
          <w:kern w:val="2"/>
          <w:sz w:val="14"/>
          <w14:ligatures w14:val="standardContextual"/>
        </w:rPr>
        <w:sectPr w:rsidR="003A6A51" w:rsidRPr="00D71342" w:rsidSect="003A6A51">
          <w:type w:val="continuous"/>
          <w:pgSz w:w="12240" w:h="15840"/>
          <w:pgMar w:top="1000" w:right="360" w:bottom="1200" w:left="720" w:header="0" w:footer="1000" w:gutter="0"/>
          <w:cols w:space="71"/>
        </w:sectPr>
      </w:pPr>
    </w:p>
    <w:p w14:paraId="0EA5AE2A" w14:textId="77777777" w:rsidR="003A6A51" w:rsidRPr="00D71342" w:rsidRDefault="003A6A51" w:rsidP="00E507EC">
      <w:pPr>
        <w:ind w:left="357"/>
        <w:rPr>
          <w:sz w:val="14"/>
          <w:szCs w:val="18"/>
          <w:lang w:val="es-CO"/>
        </w:rPr>
      </w:pPr>
      <w:r w:rsidRPr="00D71342">
        <w:rPr>
          <w:sz w:val="14"/>
          <w:szCs w:val="18"/>
          <w:lang w:val="es-CO"/>
        </w:rPr>
        <w:t>Nota. Tabla modificada en VOSviewer. Tomado de la base de datos de Scopus, enero 2026.</w:t>
      </w:r>
    </w:p>
    <w:p w14:paraId="6B4DF154" w14:textId="77777777" w:rsidR="003A6A51" w:rsidRPr="00D71342" w:rsidRDefault="003A6A51" w:rsidP="00E507EC">
      <w:pPr>
        <w:ind w:left="357"/>
        <w:rPr>
          <w:sz w:val="14"/>
          <w:szCs w:val="18"/>
          <w:lang w:val="es-CO"/>
        </w:rPr>
        <w:sectPr w:rsidR="003A6A51" w:rsidRPr="00D71342" w:rsidSect="003A6A51">
          <w:type w:val="continuous"/>
          <w:pgSz w:w="12240" w:h="15840"/>
          <w:pgMar w:top="1000" w:right="360" w:bottom="1200" w:left="720" w:header="0" w:footer="1000" w:gutter="0"/>
          <w:cols w:space="71"/>
        </w:sectPr>
      </w:pPr>
    </w:p>
    <w:p w14:paraId="356A715B" w14:textId="31D7FC7E" w:rsidR="003A6A51" w:rsidRPr="00D71342" w:rsidRDefault="003A6A51" w:rsidP="005E404B">
      <w:pPr>
        <w:pStyle w:val="Textoindependiente"/>
        <w:spacing w:before="158" w:line="259" w:lineRule="auto"/>
        <w:ind w:left="357" w:right="38"/>
        <w:jc w:val="center"/>
        <w:rPr>
          <w:b/>
          <w:bCs/>
        </w:rPr>
      </w:pPr>
      <w:r w:rsidRPr="00D71342">
        <w:rPr>
          <w:b/>
          <w:bCs/>
        </w:rPr>
        <w:lastRenderedPageBreak/>
        <w:t>Figura</w:t>
      </w:r>
      <w:r w:rsidRPr="00D71342">
        <w:rPr>
          <w:b/>
          <w:bCs/>
          <w:spacing w:val="-4"/>
        </w:rPr>
        <w:t xml:space="preserve"> </w:t>
      </w:r>
      <w:r w:rsidRPr="00D71342">
        <w:rPr>
          <w:b/>
          <w:bCs/>
        </w:rPr>
        <w:t>6.</w:t>
      </w:r>
      <w:r w:rsidRPr="00D71342">
        <w:rPr>
          <w:b/>
          <w:bCs/>
          <w:spacing w:val="-3"/>
        </w:rPr>
        <w:t xml:space="preserve"> </w:t>
      </w:r>
      <w:r w:rsidRPr="00D71342">
        <w:rPr>
          <w:b/>
          <w:bCs/>
        </w:rPr>
        <w:t>Referencia de análisis de red de palabras clave de la base de datos de Scopus.</w:t>
      </w:r>
    </w:p>
    <w:p w14:paraId="3B7A518D" w14:textId="2BB0D7F0" w:rsidR="003A6A51" w:rsidRPr="00D71342" w:rsidRDefault="003A6A51" w:rsidP="005E404B">
      <w:pPr>
        <w:ind w:left="357" w:right="38"/>
        <w:rPr>
          <w:sz w:val="14"/>
          <w:szCs w:val="18"/>
          <w:lang w:val="es-CO"/>
        </w:rPr>
      </w:pPr>
      <w:r w:rsidRPr="00D71342">
        <w:rPr>
          <w:noProof/>
          <w:sz w:val="14"/>
          <w:szCs w:val="18"/>
          <w:lang w:val="es-CO" w:eastAsia="es-CO"/>
        </w:rPr>
        <w:drawing>
          <wp:inline distT="0" distB="0" distL="0" distR="0" wp14:anchorId="716340C6" wp14:editId="2D80B73D">
            <wp:extent cx="3060000" cy="2218377"/>
            <wp:effectExtent l="0" t="0" r="762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60000" cy="2218377"/>
                    </a:xfrm>
                    <a:prstGeom prst="rect">
                      <a:avLst/>
                    </a:prstGeom>
                    <a:noFill/>
                    <a:ln>
                      <a:noFill/>
                    </a:ln>
                  </pic:spPr>
                </pic:pic>
              </a:graphicData>
            </a:graphic>
          </wp:inline>
        </w:drawing>
      </w:r>
    </w:p>
    <w:p w14:paraId="57CD93C7" w14:textId="0ED4A201" w:rsidR="003A6A51" w:rsidRPr="00D71342" w:rsidRDefault="003A6A51" w:rsidP="00A667CB">
      <w:pPr>
        <w:ind w:left="357" w:right="38"/>
        <w:rPr>
          <w:sz w:val="14"/>
          <w:szCs w:val="18"/>
          <w:lang w:val="es-CO"/>
        </w:rPr>
      </w:pPr>
      <w:r w:rsidRPr="00D71342">
        <w:rPr>
          <w:sz w:val="14"/>
          <w:szCs w:val="18"/>
          <w:lang w:val="es-CO"/>
        </w:rPr>
        <w:t>Nota. Gráfico modificado en VOSviewer. Tomado de la base de datos</w:t>
      </w:r>
      <w:r w:rsidR="00A667CB" w:rsidRPr="00D71342">
        <w:rPr>
          <w:sz w:val="14"/>
          <w:szCs w:val="18"/>
          <w:lang w:val="es-CO"/>
        </w:rPr>
        <w:t xml:space="preserve"> </w:t>
      </w:r>
      <w:r w:rsidRPr="00D71342">
        <w:rPr>
          <w:sz w:val="14"/>
          <w:szCs w:val="18"/>
          <w:lang w:val="es-CO"/>
        </w:rPr>
        <w:t>Scopus, enero 2026.</w:t>
      </w:r>
    </w:p>
    <w:p w14:paraId="7ADB0A0D" w14:textId="4558C877" w:rsidR="003A6A51" w:rsidRPr="00D71342" w:rsidRDefault="003A6A51" w:rsidP="005E404B">
      <w:pPr>
        <w:pStyle w:val="Textoindependiente"/>
        <w:spacing w:before="158" w:line="259" w:lineRule="auto"/>
        <w:ind w:left="357" w:right="38"/>
        <w:jc w:val="both"/>
      </w:pPr>
      <w:r w:rsidRPr="00D71342">
        <w:t xml:space="preserve"> Mientras que en WoS, sobre un total de 801 vocablos, 155 se reconocieron como relevantes; entre estas se presentan con mayor frecuencia “green entrepreneurship” (53), “entrepreneur” (28), “sustainable development” (27), “sustainability” (19), “green entrepreneurial orientation” (17), “green economy”, “entrepreneurship” y “innovation” (16), “green innovation” (11) y “sustainable entrepreneurship” (8).  La figura 7 muestra el análisis de red entre el “green entrepreneurship” y las temáticas relacionadas en WoS.</w:t>
      </w:r>
    </w:p>
    <w:p w14:paraId="0A685CCF" w14:textId="0144D4A8" w:rsidR="003A6A51" w:rsidRPr="00D71342" w:rsidRDefault="003A6A51" w:rsidP="005E404B">
      <w:pPr>
        <w:pStyle w:val="Textoindependiente"/>
        <w:spacing w:before="158" w:line="259" w:lineRule="auto"/>
        <w:ind w:left="357" w:right="38"/>
        <w:jc w:val="center"/>
        <w:rPr>
          <w:b/>
          <w:bCs/>
        </w:rPr>
      </w:pPr>
      <w:r w:rsidRPr="00D71342">
        <w:rPr>
          <w:b/>
          <w:bCs/>
        </w:rPr>
        <w:t>Figura</w:t>
      </w:r>
      <w:r w:rsidRPr="00D71342">
        <w:rPr>
          <w:b/>
          <w:bCs/>
          <w:spacing w:val="-4"/>
        </w:rPr>
        <w:t xml:space="preserve"> </w:t>
      </w:r>
      <w:r w:rsidRPr="00D71342">
        <w:rPr>
          <w:b/>
          <w:bCs/>
        </w:rPr>
        <w:t>7.</w:t>
      </w:r>
      <w:r w:rsidRPr="00D71342">
        <w:rPr>
          <w:b/>
          <w:bCs/>
          <w:spacing w:val="-3"/>
        </w:rPr>
        <w:t xml:space="preserve"> </w:t>
      </w:r>
      <w:r w:rsidRPr="00D71342">
        <w:rPr>
          <w:b/>
          <w:bCs/>
        </w:rPr>
        <w:t>Referencia de análisis de red de palabras clave de la base de datos de WoS.</w:t>
      </w:r>
    </w:p>
    <w:p w14:paraId="7B3FC967" w14:textId="591E7E0F" w:rsidR="003A6A51" w:rsidRPr="00D71342" w:rsidRDefault="003A6A51" w:rsidP="005E404B">
      <w:pPr>
        <w:pStyle w:val="Textoindependiente"/>
        <w:spacing w:before="158" w:line="259" w:lineRule="auto"/>
        <w:ind w:left="357" w:right="38"/>
        <w:jc w:val="center"/>
      </w:pPr>
      <w:r w:rsidRPr="00D71342">
        <w:rPr>
          <w:noProof/>
          <w:szCs w:val="24"/>
          <w:lang w:val="es-CO" w:eastAsia="es-CO"/>
        </w:rPr>
        <w:drawing>
          <wp:inline distT="0" distB="0" distL="0" distR="0" wp14:anchorId="01D6F938" wp14:editId="460354F6">
            <wp:extent cx="3060000" cy="2218378"/>
            <wp:effectExtent l="0" t="0" r="762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60000" cy="2218378"/>
                    </a:xfrm>
                    <a:prstGeom prst="rect">
                      <a:avLst/>
                    </a:prstGeom>
                    <a:noFill/>
                    <a:ln>
                      <a:noFill/>
                    </a:ln>
                  </pic:spPr>
                </pic:pic>
              </a:graphicData>
            </a:graphic>
          </wp:inline>
        </w:drawing>
      </w:r>
    </w:p>
    <w:p w14:paraId="19A8FB88" w14:textId="3E33E26E" w:rsidR="003A6A51" w:rsidRPr="00D71342" w:rsidRDefault="003A6A51" w:rsidP="00A667CB">
      <w:pPr>
        <w:ind w:left="357" w:right="38"/>
        <w:rPr>
          <w:sz w:val="14"/>
          <w:szCs w:val="18"/>
          <w:lang w:val="es-CO"/>
        </w:rPr>
      </w:pPr>
      <w:r w:rsidRPr="00D71342">
        <w:rPr>
          <w:sz w:val="14"/>
          <w:szCs w:val="18"/>
          <w:lang w:val="es-CO"/>
        </w:rPr>
        <w:t>Nota. Gráfico modificado en VOSviewer. Tomado de la base de datos</w:t>
      </w:r>
      <w:r w:rsidR="00A667CB" w:rsidRPr="00D71342">
        <w:rPr>
          <w:sz w:val="14"/>
          <w:szCs w:val="18"/>
          <w:lang w:val="es-CO"/>
        </w:rPr>
        <w:t xml:space="preserve"> </w:t>
      </w:r>
      <w:r w:rsidRPr="00D71342">
        <w:rPr>
          <w:sz w:val="14"/>
          <w:szCs w:val="18"/>
          <w:lang w:val="es-CO"/>
        </w:rPr>
        <w:t>WoS, enero 2026.</w:t>
      </w:r>
    </w:p>
    <w:p w14:paraId="6F88B387" w14:textId="3E32CE5F" w:rsidR="003A6A51" w:rsidRPr="00D71342" w:rsidRDefault="003A6A51" w:rsidP="005E404B">
      <w:pPr>
        <w:pStyle w:val="Textoindependiente"/>
        <w:spacing w:before="158" w:line="259" w:lineRule="auto"/>
        <w:ind w:left="357" w:right="38"/>
        <w:rPr>
          <w:i/>
        </w:rPr>
      </w:pPr>
      <w:r w:rsidRPr="00D71342">
        <w:rPr>
          <w:i/>
        </w:rPr>
        <w:t>Análisis</w:t>
      </w:r>
      <w:r w:rsidRPr="00D71342">
        <w:rPr>
          <w:i/>
          <w:spacing w:val="-9"/>
        </w:rPr>
        <w:t xml:space="preserve"> </w:t>
      </w:r>
      <w:r w:rsidRPr="00D71342">
        <w:rPr>
          <w:i/>
        </w:rPr>
        <w:t>de Factor de Impacto</w:t>
      </w:r>
    </w:p>
    <w:p w14:paraId="1435C4E3" w14:textId="77777777" w:rsidR="00E507EC" w:rsidRDefault="003A6A51" w:rsidP="00483DD0">
      <w:pPr>
        <w:pStyle w:val="Textoindependiente"/>
        <w:spacing w:before="158" w:line="259" w:lineRule="auto"/>
        <w:ind w:left="357" w:right="38"/>
        <w:jc w:val="both"/>
      </w:pPr>
      <w:r w:rsidRPr="00D71342">
        <w:t>En el análisis bibliométrico preliminar, la evaluación del impacto destaca la relevancia de la publicación “Impact of green entrepreneurship orientation on environmental performance: The natural resource-based view and environmental policy perspective” de los autores Lahcene Makholoufi, Abderrazak Ahmed Laghouag, Tang Meirun y Fateh Belaid. Este artículo sobresale de entre 88 documentos de Scopus, acumulando 244 citaciones y un alto</w:t>
      </w:r>
    </w:p>
    <w:p w14:paraId="3F089B72" w14:textId="07A25105" w:rsidR="003A6A51" w:rsidRPr="00D71342" w:rsidRDefault="003A6A51" w:rsidP="00E507EC">
      <w:pPr>
        <w:pStyle w:val="Textoindependiente"/>
        <w:spacing w:before="158" w:line="259" w:lineRule="auto"/>
        <w:ind w:left="357" w:right="778"/>
        <w:jc w:val="both"/>
      </w:pPr>
      <w:r w:rsidRPr="00D71342">
        <w:t xml:space="preserve">Impacto de Citación Ponderado por Campo (FWCI) de 15.49; esto implica </w:t>
      </w:r>
      <w:r w:rsidR="0075754C" w:rsidRPr="00D71342">
        <w:t>que ha sido más de quince veces</w:t>
      </w:r>
      <w:r w:rsidR="00E507EC">
        <w:t xml:space="preserve"> </w:t>
      </w:r>
      <w:r w:rsidRPr="00D71342">
        <w:t>citado que la media esperada para documentos similares dentro de su contexto temático, temporal y tipológico. Asimismo, la revista “Business Strategy and the Environment”, con un factor de impacto de 7.66 en 2025, de acuerdo con la información disponible en Scopus, resalta por su alta importancia académica y su contribución al desarrollo del conocimiento en sus respectivas áreas.</w:t>
      </w:r>
    </w:p>
    <w:p w14:paraId="3A09AD08" w14:textId="0B8EC2DB" w:rsidR="003A6A51" w:rsidRPr="00D71342" w:rsidRDefault="003A6A51" w:rsidP="00E507EC">
      <w:pPr>
        <w:pStyle w:val="Textoindependiente"/>
        <w:spacing w:before="158" w:line="259" w:lineRule="auto"/>
        <w:ind w:left="357" w:right="778"/>
        <w:rPr>
          <w:i/>
        </w:rPr>
      </w:pPr>
      <w:r w:rsidRPr="00D71342">
        <w:rPr>
          <w:i/>
        </w:rPr>
        <w:t xml:space="preserve">Enfoques metodológicos </w:t>
      </w:r>
    </w:p>
    <w:p w14:paraId="21E6409F" w14:textId="4EEA4A96" w:rsidR="003A6A51" w:rsidRPr="00D71342" w:rsidRDefault="003A6A51" w:rsidP="00E507EC">
      <w:pPr>
        <w:pStyle w:val="Textoindependiente"/>
        <w:spacing w:before="158" w:line="259" w:lineRule="auto"/>
        <w:ind w:left="357" w:right="778"/>
        <w:jc w:val="both"/>
      </w:pPr>
      <w:r w:rsidRPr="00D71342">
        <w:t xml:space="preserve">La revisión de los 89 artículos analizados </w:t>
      </w:r>
      <w:r w:rsidR="006E692E" w:rsidRPr="00D71342">
        <w:t>permitió</w:t>
      </w:r>
      <w:r w:rsidRPr="00D71342">
        <w:t xml:space="preserve"> identificar patrones claros en cuanto a los enfoques metodológicos predominantes. A continuación, se puede evidenciar en la tabla 4.</w:t>
      </w:r>
    </w:p>
    <w:p w14:paraId="7254D091" w14:textId="31668475" w:rsidR="003A6A51" w:rsidRPr="00D71342" w:rsidRDefault="003A6A51" w:rsidP="00E507EC">
      <w:pPr>
        <w:pStyle w:val="Textoindependiente"/>
        <w:spacing w:before="158" w:line="259" w:lineRule="auto"/>
        <w:ind w:left="357" w:right="778"/>
        <w:rPr>
          <w:i/>
        </w:rPr>
      </w:pPr>
      <w:r w:rsidRPr="00D71342">
        <w:rPr>
          <w:i/>
        </w:rPr>
        <w:t>Conceptualización del Emprendimiento Verde</w:t>
      </w:r>
    </w:p>
    <w:p w14:paraId="61076C2B" w14:textId="6C9F77E2" w:rsidR="003A6A51" w:rsidRPr="00D71342" w:rsidRDefault="003A6A51" w:rsidP="00E507EC">
      <w:pPr>
        <w:pStyle w:val="Textoindependiente"/>
        <w:spacing w:before="158" w:line="259" w:lineRule="auto"/>
        <w:ind w:left="357" w:right="778"/>
        <w:jc w:val="both"/>
      </w:pPr>
      <w:r w:rsidRPr="00D71342">
        <w:t>El emprendimiento verde es un fenómeno complejo y multidimensional que se ha abordado desde diversas perspectivas. El análisis de la literatura pudo agrupar a los autores en cuatro grandes perspectivas o aproximaciones conceptuales, no necesariamente excluyentes entre sí. Lo anterior se expone en la tabla 5.</w:t>
      </w:r>
    </w:p>
    <w:p w14:paraId="67E9F084" w14:textId="5187214D" w:rsidR="003A6A51" w:rsidRPr="00D71342" w:rsidRDefault="003A6A51" w:rsidP="00E507EC">
      <w:pPr>
        <w:pStyle w:val="Textoindependiente"/>
        <w:spacing w:before="158" w:line="259" w:lineRule="auto"/>
        <w:ind w:left="357" w:right="778"/>
        <w:rPr>
          <w:i/>
        </w:rPr>
      </w:pPr>
      <w:r w:rsidRPr="00D71342">
        <w:rPr>
          <w:i/>
        </w:rPr>
        <w:t>Delimitación conceptual</w:t>
      </w:r>
    </w:p>
    <w:p w14:paraId="48855216" w14:textId="77777777" w:rsidR="003A6A51" w:rsidRPr="00D71342" w:rsidRDefault="003A6A51" w:rsidP="00E507EC">
      <w:pPr>
        <w:pStyle w:val="Textoindependiente"/>
        <w:spacing w:before="158" w:line="259" w:lineRule="auto"/>
        <w:ind w:left="357" w:right="778"/>
        <w:jc w:val="both"/>
      </w:pPr>
      <w:r w:rsidRPr="00D71342">
        <w:t>La investigación sobre el emprendimiento verde se encuentra todavía en fase inicial de desarrollo (Pimentel y Sousa, 2022). Como consecuencia, es común que los autores utilicen el termino emprendimiento verde como sinónimo de conceptos similares como emprendimiento sostenible, eco-emprendimiento, emprendimiento ambiental y orientación emprendedora verde, sin tener en cuenta sus fronteras conceptuales (Albhirat et al., 2024). Sin embargo, para determinar un marco teórico exacto, es necesario comprender que cada uno de estos términos tiene matices, enfoque y alcances teóricos distintos. Teniendo en cuenta lo anterior, el siguiente análisis exhaustivo de la información, da explicación a estos conceptos y sus diferencias fundamentales con el emprendimiento verde. En la tabla 6 se delimita estos conceptos.</w:t>
      </w:r>
      <w:bookmarkStart w:id="2" w:name="_Toc234767647"/>
    </w:p>
    <w:p w14:paraId="7A6E75F8" w14:textId="06FA39BA" w:rsidR="003A6A51" w:rsidRPr="00D71342" w:rsidRDefault="003A6A51" w:rsidP="00E507EC">
      <w:pPr>
        <w:pStyle w:val="Textoindependiente"/>
        <w:spacing w:before="158" w:line="259" w:lineRule="auto"/>
        <w:ind w:left="357" w:right="778"/>
        <w:jc w:val="both"/>
      </w:pPr>
      <w:r w:rsidRPr="00D71342">
        <w:rPr>
          <w:bCs/>
          <w:i/>
          <w:lang w:val="es-CO"/>
        </w:rPr>
        <w:t>Principales Características del Emprendimiento Verde Identificadas en la Literatura</w:t>
      </w:r>
      <w:bookmarkEnd w:id="2"/>
    </w:p>
    <w:p w14:paraId="627A67A5" w14:textId="536B5CCD" w:rsidR="003A6A51" w:rsidRPr="00D71342" w:rsidRDefault="003A6A51" w:rsidP="00E507EC">
      <w:pPr>
        <w:pStyle w:val="Textoindependiente"/>
        <w:spacing w:before="158" w:line="259" w:lineRule="auto"/>
        <w:ind w:left="357" w:right="778"/>
        <w:jc w:val="both"/>
      </w:pPr>
      <w:r w:rsidRPr="00D71342">
        <w:t>Los hallazgos de la literatura analizada se observan en la tabla 7; se caracteriza este fenómeno a través de tres niveles fundamentales en los cuales operan factores a: nivel individual, nivel organizacional y nivel social/ambiental (Ding et al., 2025).</w:t>
      </w:r>
    </w:p>
    <w:p w14:paraId="3BD0368D" w14:textId="77777777" w:rsidR="003A6A51" w:rsidRPr="00D71342" w:rsidRDefault="003A6A51" w:rsidP="00E507EC">
      <w:pPr>
        <w:pStyle w:val="Textoindependiente"/>
        <w:spacing w:before="158" w:line="259" w:lineRule="auto"/>
        <w:ind w:left="357" w:right="778"/>
        <w:rPr>
          <w:bCs/>
          <w:i/>
          <w:lang w:val="es-CO"/>
        </w:rPr>
      </w:pPr>
      <w:bookmarkStart w:id="3" w:name="_Toc234767651"/>
      <w:r w:rsidRPr="00D71342">
        <w:rPr>
          <w:bCs/>
          <w:i/>
          <w:lang w:val="es-CO"/>
        </w:rPr>
        <w:t>Factores que Promueven el Emprendimiento Verde</w:t>
      </w:r>
      <w:bookmarkEnd w:id="3"/>
    </w:p>
    <w:p w14:paraId="4E65C44F" w14:textId="5A57E141" w:rsidR="00F0541C" w:rsidRPr="00D71342" w:rsidRDefault="003A6A51" w:rsidP="00E507EC">
      <w:pPr>
        <w:pStyle w:val="Textoindependiente"/>
        <w:spacing w:before="158" w:line="259" w:lineRule="auto"/>
        <w:ind w:left="357" w:right="778"/>
        <w:jc w:val="both"/>
      </w:pPr>
      <w:r w:rsidRPr="00D71342">
        <w:t>El análisis a la literatura recopilada evidencia, que el emprendimiento verde no responde a un único factor impulsor, sino a la interacción dinámica de factores internos como capacidades, valores y recursos; y factores externos como el mercado, las instituciones y la sociedad (Al-Mamary, 2025); que promueven a emprendedores y organizaciones a transformar desafíos medioambientales en oportunidades de negocios sostenibles (Neumann, 2022). Con el propósito de facilitar el análisis, los factores impulsores identificados se clasificaron en tres categorías principales (empresariales, económicos y culturales) respaldados por evidencia empírica de casos de estudio representativos. Para complementar en la tabla 8 se observa estos factores impulsores</w:t>
      </w:r>
      <w:r w:rsidR="00F0541C" w:rsidRPr="00D71342">
        <w:br w:type="page"/>
      </w:r>
    </w:p>
    <w:p w14:paraId="7066B18B" w14:textId="77777777" w:rsidR="00F0541C" w:rsidRPr="00D71342" w:rsidRDefault="00F0541C" w:rsidP="00F0541C">
      <w:pPr>
        <w:pStyle w:val="Textoindependiente"/>
        <w:spacing w:before="158" w:line="259" w:lineRule="auto"/>
        <w:ind w:left="357" w:right="711"/>
        <w:jc w:val="both"/>
        <w:sectPr w:rsidR="00F0541C" w:rsidRPr="00D71342">
          <w:type w:val="continuous"/>
          <w:pgSz w:w="12240" w:h="15840"/>
          <w:pgMar w:top="1000" w:right="360" w:bottom="1200" w:left="720" w:header="0" w:footer="1000" w:gutter="0"/>
          <w:cols w:num="2" w:space="720" w:equalWidth="0">
            <w:col w:w="5208" w:space="71"/>
            <w:col w:w="5881"/>
          </w:cols>
        </w:sectPr>
      </w:pPr>
    </w:p>
    <w:p w14:paraId="230C4833" w14:textId="2AF73D0E" w:rsidR="00F0541C" w:rsidRPr="00D71342" w:rsidRDefault="009E75DE" w:rsidP="009E75DE">
      <w:pPr>
        <w:pStyle w:val="Ttulo3"/>
        <w:spacing w:after="240"/>
        <w:ind w:left="426" w:right="670"/>
        <w:jc w:val="center"/>
        <w:sectPr w:rsidR="00F0541C" w:rsidRPr="00D71342" w:rsidSect="003A6A51">
          <w:type w:val="continuous"/>
          <w:pgSz w:w="12240" w:h="15840"/>
          <w:pgMar w:top="1000" w:right="360" w:bottom="1200" w:left="720" w:header="0" w:footer="1000" w:gutter="0"/>
          <w:cols w:space="71"/>
        </w:sectPr>
      </w:pPr>
      <w:r w:rsidRPr="00D71342">
        <w:rPr>
          <w:spacing w:val="-6"/>
        </w:rPr>
        <w:lastRenderedPageBreak/>
        <w:t>Tabla 4. Enfoques metodológicos</w:t>
      </w:r>
    </w:p>
    <w:tbl>
      <w:tblPr>
        <w:tblW w:w="9922" w:type="dxa"/>
        <w:tblInd w:w="496" w:type="dxa"/>
        <w:tblCellMar>
          <w:left w:w="70" w:type="dxa"/>
          <w:right w:w="70" w:type="dxa"/>
        </w:tblCellMar>
        <w:tblLook w:val="04A0" w:firstRow="1" w:lastRow="0" w:firstColumn="1" w:lastColumn="0" w:noHBand="0" w:noVBand="1"/>
      </w:tblPr>
      <w:tblGrid>
        <w:gridCol w:w="1711"/>
        <w:gridCol w:w="3141"/>
        <w:gridCol w:w="3015"/>
        <w:gridCol w:w="2055"/>
      </w:tblGrid>
      <w:tr w:rsidR="00D71342" w:rsidRPr="00D71342" w14:paraId="4AF9F8F9" w14:textId="77777777" w:rsidTr="00813F12">
        <w:trPr>
          <w:trHeight w:val="50"/>
        </w:trPr>
        <w:tc>
          <w:tcPr>
            <w:tcW w:w="1711" w:type="dxa"/>
            <w:tcBorders>
              <w:top w:val="single" w:sz="4" w:space="0" w:color="auto"/>
              <w:left w:val="nil"/>
              <w:bottom w:val="single" w:sz="4" w:space="0" w:color="auto"/>
              <w:right w:val="nil"/>
            </w:tcBorders>
            <w:vAlign w:val="center"/>
            <w:hideMark/>
          </w:tcPr>
          <w:p w14:paraId="7EF9CC85" w14:textId="77777777" w:rsidR="00F0541C" w:rsidRPr="00D71342" w:rsidRDefault="00F0541C" w:rsidP="00F0541C">
            <w:pPr>
              <w:ind w:right="80" w:firstLine="2"/>
              <w:jc w:val="center"/>
              <w:rPr>
                <w:b/>
                <w:bCs/>
                <w:sz w:val="14"/>
                <w:szCs w:val="14"/>
              </w:rPr>
            </w:pPr>
            <w:r w:rsidRPr="00D71342">
              <w:rPr>
                <w:b/>
                <w:bCs/>
                <w:sz w:val="14"/>
                <w:szCs w:val="14"/>
              </w:rPr>
              <w:t>Enfoque metodológico</w:t>
            </w:r>
          </w:p>
        </w:tc>
        <w:tc>
          <w:tcPr>
            <w:tcW w:w="3141" w:type="dxa"/>
            <w:tcBorders>
              <w:top w:val="single" w:sz="4" w:space="0" w:color="auto"/>
              <w:left w:val="nil"/>
              <w:bottom w:val="single" w:sz="4" w:space="0" w:color="auto"/>
              <w:right w:val="nil"/>
            </w:tcBorders>
            <w:vAlign w:val="center"/>
            <w:hideMark/>
          </w:tcPr>
          <w:p w14:paraId="5028153C" w14:textId="77777777" w:rsidR="00F0541C" w:rsidRPr="00D71342" w:rsidRDefault="00F0541C" w:rsidP="00F0541C">
            <w:pPr>
              <w:ind w:right="102" w:firstLine="2"/>
              <w:jc w:val="center"/>
              <w:rPr>
                <w:b/>
                <w:bCs/>
                <w:sz w:val="14"/>
                <w:szCs w:val="14"/>
              </w:rPr>
            </w:pPr>
            <w:r w:rsidRPr="00D71342">
              <w:rPr>
                <w:b/>
                <w:bCs/>
                <w:sz w:val="14"/>
                <w:szCs w:val="14"/>
              </w:rPr>
              <w:t>Descripción</w:t>
            </w:r>
          </w:p>
        </w:tc>
        <w:tc>
          <w:tcPr>
            <w:tcW w:w="3015" w:type="dxa"/>
            <w:tcBorders>
              <w:top w:val="single" w:sz="4" w:space="0" w:color="auto"/>
              <w:left w:val="nil"/>
              <w:bottom w:val="single" w:sz="4" w:space="0" w:color="auto"/>
              <w:right w:val="nil"/>
            </w:tcBorders>
            <w:vAlign w:val="center"/>
            <w:hideMark/>
          </w:tcPr>
          <w:p w14:paraId="2CC36FA5" w14:textId="77777777" w:rsidR="00F0541C" w:rsidRPr="00D71342" w:rsidRDefault="00F0541C" w:rsidP="00F0541C">
            <w:pPr>
              <w:ind w:firstLine="2"/>
              <w:jc w:val="center"/>
              <w:rPr>
                <w:b/>
                <w:bCs/>
                <w:sz w:val="14"/>
                <w:szCs w:val="14"/>
              </w:rPr>
            </w:pPr>
            <w:r w:rsidRPr="00D71342">
              <w:rPr>
                <w:b/>
                <w:bCs/>
                <w:sz w:val="14"/>
                <w:szCs w:val="14"/>
              </w:rPr>
              <w:t>Técnicas</w:t>
            </w:r>
          </w:p>
        </w:tc>
        <w:tc>
          <w:tcPr>
            <w:tcW w:w="2055" w:type="dxa"/>
            <w:tcBorders>
              <w:top w:val="single" w:sz="4" w:space="0" w:color="auto"/>
              <w:left w:val="nil"/>
              <w:bottom w:val="single" w:sz="4" w:space="0" w:color="auto"/>
              <w:right w:val="nil"/>
            </w:tcBorders>
            <w:noWrap/>
            <w:vAlign w:val="center"/>
            <w:hideMark/>
          </w:tcPr>
          <w:p w14:paraId="609EE667" w14:textId="77777777" w:rsidR="00F0541C" w:rsidRPr="00D71342" w:rsidRDefault="00F0541C" w:rsidP="00F0541C">
            <w:pPr>
              <w:ind w:left="68" w:right="-68" w:firstLine="2"/>
              <w:jc w:val="center"/>
              <w:rPr>
                <w:b/>
                <w:bCs/>
                <w:sz w:val="14"/>
                <w:szCs w:val="14"/>
              </w:rPr>
            </w:pPr>
            <w:r w:rsidRPr="00D71342">
              <w:rPr>
                <w:b/>
                <w:bCs/>
                <w:sz w:val="14"/>
                <w:szCs w:val="14"/>
              </w:rPr>
              <w:t>Autor(es)</w:t>
            </w:r>
          </w:p>
        </w:tc>
      </w:tr>
      <w:tr w:rsidR="00D71342" w:rsidRPr="00D71342" w14:paraId="03A0BAE6" w14:textId="77777777" w:rsidTr="00813F12">
        <w:trPr>
          <w:trHeight w:val="274"/>
        </w:trPr>
        <w:tc>
          <w:tcPr>
            <w:tcW w:w="1711" w:type="dxa"/>
            <w:vMerge w:val="restart"/>
            <w:tcBorders>
              <w:top w:val="nil"/>
              <w:left w:val="nil"/>
              <w:right w:val="nil"/>
            </w:tcBorders>
            <w:vAlign w:val="center"/>
            <w:hideMark/>
          </w:tcPr>
          <w:p w14:paraId="72D15673" w14:textId="77777777" w:rsidR="00F0541C" w:rsidRPr="00D71342" w:rsidRDefault="00F0541C" w:rsidP="00F0541C">
            <w:pPr>
              <w:ind w:right="80" w:firstLine="2"/>
              <w:jc w:val="center"/>
              <w:rPr>
                <w:b/>
                <w:bCs/>
                <w:sz w:val="14"/>
                <w:szCs w:val="14"/>
              </w:rPr>
            </w:pPr>
            <w:r w:rsidRPr="00D71342">
              <w:rPr>
                <w:b/>
                <w:bCs/>
                <w:sz w:val="14"/>
                <w:szCs w:val="14"/>
              </w:rPr>
              <w:t>Cuantitativo</w:t>
            </w:r>
          </w:p>
        </w:tc>
        <w:tc>
          <w:tcPr>
            <w:tcW w:w="3141" w:type="dxa"/>
            <w:vMerge w:val="restart"/>
            <w:tcBorders>
              <w:top w:val="nil"/>
              <w:left w:val="nil"/>
              <w:right w:val="nil"/>
            </w:tcBorders>
            <w:vAlign w:val="center"/>
            <w:hideMark/>
          </w:tcPr>
          <w:p w14:paraId="63EE6C7E" w14:textId="77777777" w:rsidR="00F0541C" w:rsidRPr="00D71342" w:rsidRDefault="00F0541C" w:rsidP="00913D5D">
            <w:pPr>
              <w:ind w:right="102" w:firstLine="2"/>
              <w:rPr>
                <w:sz w:val="14"/>
                <w:szCs w:val="14"/>
              </w:rPr>
            </w:pPr>
            <w:r w:rsidRPr="00D71342">
              <w:rPr>
                <w:sz w:val="14"/>
                <w:szCs w:val="14"/>
              </w:rPr>
              <w:t>Enfoque integral, aplicado y sólido, adecuado para validar modelos complejos que contienen numerosos constructos latentes (aquellos que no pueden medirse directamente) y relaciones de mediación entre variables, lo que facilita el análisis de factores asociados.</w:t>
            </w:r>
          </w:p>
        </w:tc>
        <w:tc>
          <w:tcPr>
            <w:tcW w:w="3015" w:type="dxa"/>
            <w:tcBorders>
              <w:top w:val="nil"/>
              <w:left w:val="nil"/>
              <w:bottom w:val="nil"/>
              <w:right w:val="nil"/>
            </w:tcBorders>
            <w:shd w:val="clear" w:color="000000" w:fill="BFBFBF"/>
            <w:vAlign w:val="center"/>
            <w:hideMark/>
          </w:tcPr>
          <w:p w14:paraId="4CC4FB35" w14:textId="77777777" w:rsidR="00F0541C" w:rsidRPr="00D71342" w:rsidRDefault="00F0541C" w:rsidP="00913D5D">
            <w:pPr>
              <w:ind w:firstLine="2"/>
              <w:rPr>
                <w:sz w:val="14"/>
                <w:szCs w:val="14"/>
              </w:rPr>
            </w:pPr>
            <w:r w:rsidRPr="00D71342">
              <w:rPr>
                <w:sz w:val="14"/>
                <w:szCs w:val="14"/>
              </w:rPr>
              <w:t>Regresión de mínimos cuadrados ordinarios</w:t>
            </w:r>
          </w:p>
        </w:tc>
        <w:tc>
          <w:tcPr>
            <w:tcW w:w="2055" w:type="dxa"/>
            <w:tcBorders>
              <w:top w:val="nil"/>
              <w:left w:val="nil"/>
              <w:bottom w:val="nil"/>
              <w:right w:val="nil"/>
            </w:tcBorders>
            <w:shd w:val="clear" w:color="000000" w:fill="BFBFBF"/>
            <w:vAlign w:val="center"/>
            <w:hideMark/>
          </w:tcPr>
          <w:p w14:paraId="3BE60D80" w14:textId="59E54721" w:rsidR="00F0541C" w:rsidRPr="00D71342" w:rsidRDefault="00F0541C" w:rsidP="00913D5D">
            <w:pPr>
              <w:ind w:left="68" w:right="-68" w:firstLine="2"/>
              <w:rPr>
                <w:sz w:val="14"/>
                <w:szCs w:val="14"/>
              </w:rPr>
            </w:pPr>
            <w:r w:rsidRPr="00D71342">
              <w:rPr>
                <w:sz w:val="14"/>
                <w:szCs w:val="14"/>
              </w:rPr>
              <w:t>Misztal y Kowalska (202</w:t>
            </w:r>
            <w:r w:rsidR="0016045C" w:rsidRPr="00D71342">
              <w:rPr>
                <w:sz w:val="14"/>
                <w:szCs w:val="14"/>
              </w:rPr>
              <w:t>3</w:t>
            </w:r>
            <w:r w:rsidRPr="00D71342">
              <w:rPr>
                <w:sz w:val="14"/>
                <w:szCs w:val="14"/>
              </w:rPr>
              <w:t>)</w:t>
            </w:r>
          </w:p>
        </w:tc>
      </w:tr>
      <w:tr w:rsidR="00D71342" w:rsidRPr="00D71342" w14:paraId="74F25C97" w14:textId="77777777" w:rsidTr="00813F12">
        <w:trPr>
          <w:trHeight w:val="257"/>
        </w:trPr>
        <w:tc>
          <w:tcPr>
            <w:tcW w:w="1711" w:type="dxa"/>
            <w:vMerge/>
            <w:tcBorders>
              <w:left w:val="nil"/>
              <w:right w:val="nil"/>
            </w:tcBorders>
            <w:vAlign w:val="center"/>
            <w:hideMark/>
          </w:tcPr>
          <w:p w14:paraId="482EC366" w14:textId="77777777" w:rsidR="00F0541C" w:rsidRPr="00D71342" w:rsidRDefault="00F0541C" w:rsidP="00F0541C">
            <w:pPr>
              <w:ind w:right="80" w:firstLine="2"/>
              <w:jc w:val="center"/>
              <w:rPr>
                <w:b/>
                <w:bCs/>
                <w:sz w:val="14"/>
                <w:szCs w:val="14"/>
              </w:rPr>
            </w:pPr>
          </w:p>
        </w:tc>
        <w:tc>
          <w:tcPr>
            <w:tcW w:w="3141" w:type="dxa"/>
            <w:vMerge/>
            <w:tcBorders>
              <w:left w:val="nil"/>
              <w:right w:val="nil"/>
            </w:tcBorders>
            <w:vAlign w:val="center"/>
            <w:hideMark/>
          </w:tcPr>
          <w:p w14:paraId="450B0296" w14:textId="77777777" w:rsidR="00F0541C" w:rsidRPr="00D71342" w:rsidRDefault="00F0541C" w:rsidP="00913D5D">
            <w:pPr>
              <w:ind w:right="102" w:firstLine="2"/>
              <w:rPr>
                <w:sz w:val="14"/>
                <w:szCs w:val="14"/>
              </w:rPr>
            </w:pPr>
          </w:p>
        </w:tc>
        <w:tc>
          <w:tcPr>
            <w:tcW w:w="3015" w:type="dxa"/>
            <w:tcBorders>
              <w:top w:val="nil"/>
              <w:left w:val="nil"/>
              <w:bottom w:val="nil"/>
              <w:right w:val="nil"/>
            </w:tcBorders>
            <w:vAlign w:val="center"/>
            <w:hideMark/>
          </w:tcPr>
          <w:p w14:paraId="526F08DC" w14:textId="77777777" w:rsidR="00F0541C" w:rsidRPr="00D71342" w:rsidRDefault="00F0541C" w:rsidP="00913D5D">
            <w:pPr>
              <w:ind w:firstLine="2"/>
              <w:rPr>
                <w:sz w:val="14"/>
                <w:szCs w:val="14"/>
              </w:rPr>
            </w:pPr>
            <w:r w:rsidRPr="00D71342">
              <w:rPr>
                <w:sz w:val="14"/>
                <w:szCs w:val="14"/>
              </w:rPr>
              <w:t>Regresión jerárquica</w:t>
            </w:r>
          </w:p>
        </w:tc>
        <w:tc>
          <w:tcPr>
            <w:tcW w:w="2055" w:type="dxa"/>
            <w:tcBorders>
              <w:top w:val="nil"/>
              <w:left w:val="nil"/>
              <w:bottom w:val="nil"/>
              <w:right w:val="nil"/>
            </w:tcBorders>
            <w:vAlign w:val="center"/>
            <w:hideMark/>
          </w:tcPr>
          <w:p w14:paraId="08B3CDFF" w14:textId="77777777" w:rsidR="00F0541C" w:rsidRPr="00D71342" w:rsidRDefault="00F0541C" w:rsidP="00913D5D">
            <w:pPr>
              <w:ind w:left="68" w:right="-68" w:firstLine="2"/>
              <w:rPr>
                <w:sz w:val="14"/>
                <w:szCs w:val="14"/>
              </w:rPr>
            </w:pPr>
            <w:r w:rsidRPr="00D71342">
              <w:rPr>
                <w:sz w:val="14"/>
                <w:szCs w:val="14"/>
              </w:rPr>
              <w:t>Zhongyi y Jing (2025)</w:t>
            </w:r>
          </w:p>
        </w:tc>
      </w:tr>
      <w:tr w:rsidR="00D71342" w:rsidRPr="00D71342" w14:paraId="45CC9632" w14:textId="77777777" w:rsidTr="00813F12">
        <w:trPr>
          <w:trHeight w:val="278"/>
        </w:trPr>
        <w:tc>
          <w:tcPr>
            <w:tcW w:w="1711" w:type="dxa"/>
            <w:vMerge/>
            <w:tcBorders>
              <w:left w:val="nil"/>
              <w:right w:val="nil"/>
            </w:tcBorders>
            <w:vAlign w:val="center"/>
            <w:hideMark/>
          </w:tcPr>
          <w:p w14:paraId="10D70C76" w14:textId="77777777" w:rsidR="00F0541C" w:rsidRPr="00D71342" w:rsidRDefault="00F0541C" w:rsidP="00F0541C">
            <w:pPr>
              <w:ind w:right="80" w:firstLine="2"/>
              <w:jc w:val="center"/>
              <w:rPr>
                <w:b/>
                <w:bCs/>
                <w:sz w:val="14"/>
                <w:szCs w:val="14"/>
              </w:rPr>
            </w:pPr>
          </w:p>
        </w:tc>
        <w:tc>
          <w:tcPr>
            <w:tcW w:w="3141" w:type="dxa"/>
            <w:vMerge/>
            <w:tcBorders>
              <w:left w:val="nil"/>
              <w:right w:val="nil"/>
            </w:tcBorders>
            <w:vAlign w:val="center"/>
            <w:hideMark/>
          </w:tcPr>
          <w:p w14:paraId="2505CB3C" w14:textId="77777777" w:rsidR="00F0541C" w:rsidRPr="00D71342" w:rsidRDefault="00F0541C" w:rsidP="00913D5D">
            <w:pPr>
              <w:ind w:right="102" w:firstLine="2"/>
              <w:rPr>
                <w:sz w:val="14"/>
                <w:szCs w:val="14"/>
              </w:rPr>
            </w:pPr>
          </w:p>
        </w:tc>
        <w:tc>
          <w:tcPr>
            <w:tcW w:w="3015" w:type="dxa"/>
            <w:tcBorders>
              <w:top w:val="nil"/>
              <w:left w:val="nil"/>
              <w:bottom w:val="nil"/>
              <w:right w:val="nil"/>
            </w:tcBorders>
            <w:shd w:val="clear" w:color="000000" w:fill="BFBFBF"/>
            <w:vAlign w:val="center"/>
            <w:hideMark/>
          </w:tcPr>
          <w:p w14:paraId="6A527165" w14:textId="77777777" w:rsidR="00F0541C" w:rsidRPr="00D71342" w:rsidRDefault="00F0541C" w:rsidP="00913D5D">
            <w:pPr>
              <w:ind w:firstLine="2"/>
              <w:rPr>
                <w:sz w:val="14"/>
                <w:szCs w:val="14"/>
              </w:rPr>
            </w:pPr>
            <w:r w:rsidRPr="00D71342">
              <w:rPr>
                <w:sz w:val="14"/>
                <w:szCs w:val="14"/>
              </w:rPr>
              <w:t>Regresión múltiple</w:t>
            </w:r>
          </w:p>
        </w:tc>
        <w:tc>
          <w:tcPr>
            <w:tcW w:w="2055" w:type="dxa"/>
            <w:tcBorders>
              <w:top w:val="nil"/>
              <w:left w:val="nil"/>
              <w:bottom w:val="nil"/>
              <w:right w:val="nil"/>
            </w:tcBorders>
            <w:shd w:val="clear" w:color="000000" w:fill="BFBFBF"/>
            <w:vAlign w:val="center"/>
            <w:hideMark/>
          </w:tcPr>
          <w:p w14:paraId="77D51D29" w14:textId="77777777" w:rsidR="00F0541C" w:rsidRPr="00D71342" w:rsidRDefault="00F0541C" w:rsidP="00913D5D">
            <w:pPr>
              <w:ind w:left="68" w:right="-68" w:firstLine="2"/>
              <w:rPr>
                <w:sz w:val="14"/>
                <w:szCs w:val="14"/>
              </w:rPr>
            </w:pPr>
            <w:r w:rsidRPr="00D71342">
              <w:rPr>
                <w:sz w:val="14"/>
                <w:szCs w:val="14"/>
              </w:rPr>
              <w:t>Zhongyi y Jing (2025)</w:t>
            </w:r>
          </w:p>
        </w:tc>
      </w:tr>
      <w:tr w:rsidR="00D71342" w:rsidRPr="00D71342" w14:paraId="42441EFF" w14:textId="77777777" w:rsidTr="00813F12">
        <w:trPr>
          <w:trHeight w:val="460"/>
        </w:trPr>
        <w:tc>
          <w:tcPr>
            <w:tcW w:w="1711" w:type="dxa"/>
            <w:vMerge/>
            <w:tcBorders>
              <w:left w:val="nil"/>
              <w:bottom w:val="nil"/>
              <w:right w:val="nil"/>
            </w:tcBorders>
            <w:vAlign w:val="center"/>
            <w:hideMark/>
          </w:tcPr>
          <w:p w14:paraId="54AAD002" w14:textId="77777777" w:rsidR="00F0541C" w:rsidRPr="00D71342" w:rsidRDefault="00F0541C" w:rsidP="00F0541C">
            <w:pPr>
              <w:ind w:right="80" w:firstLine="2"/>
              <w:jc w:val="center"/>
              <w:rPr>
                <w:b/>
                <w:bCs/>
                <w:sz w:val="14"/>
                <w:szCs w:val="14"/>
              </w:rPr>
            </w:pPr>
          </w:p>
        </w:tc>
        <w:tc>
          <w:tcPr>
            <w:tcW w:w="3141" w:type="dxa"/>
            <w:vMerge/>
            <w:tcBorders>
              <w:left w:val="nil"/>
              <w:bottom w:val="nil"/>
              <w:right w:val="nil"/>
            </w:tcBorders>
            <w:vAlign w:val="center"/>
            <w:hideMark/>
          </w:tcPr>
          <w:p w14:paraId="37FAC062" w14:textId="77777777" w:rsidR="00F0541C" w:rsidRPr="00D71342" w:rsidRDefault="00F0541C" w:rsidP="00913D5D">
            <w:pPr>
              <w:ind w:right="102" w:firstLine="2"/>
              <w:rPr>
                <w:sz w:val="14"/>
                <w:szCs w:val="14"/>
              </w:rPr>
            </w:pPr>
          </w:p>
        </w:tc>
        <w:tc>
          <w:tcPr>
            <w:tcW w:w="3015" w:type="dxa"/>
            <w:tcBorders>
              <w:top w:val="nil"/>
              <w:left w:val="nil"/>
              <w:bottom w:val="nil"/>
              <w:right w:val="nil"/>
            </w:tcBorders>
            <w:vAlign w:val="center"/>
            <w:hideMark/>
          </w:tcPr>
          <w:p w14:paraId="29B33968" w14:textId="77777777" w:rsidR="00F0541C" w:rsidRPr="00D71342" w:rsidRDefault="00F0541C" w:rsidP="00913D5D">
            <w:pPr>
              <w:ind w:firstLine="2"/>
              <w:rPr>
                <w:sz w:val="14"/>
                <w:szCs w:val="14"/>
              </w:rPr>
            </w:pPr>
            <w:r w:rsidRPr="00D71342">
              <w:rPr>
                <w:sz w:val="14"/>
                <w:szCs w:val="14"/>
              </w:rPr>
              <w:t>Modelos econométricos</w:t>
            </w:r>
          </w:p>
        </w:tc>
        <w:tc>
          <w:tcPr>
            <w:tcW w:w="2055" w:type="dxa"/>
            <w:tcBorders>
              <w:top w:val="nil"/>
              <w:left w:val="nil"/>
              <w:bottom w:val="nil"/>
              <w:right w:val="nil"/>
            </w:tcBorders>
            <w:vAlign w:val="center"/>
            <w:hideMark/>
          </w:tcPr>
          <w:p w14:paraId="5BAE2166" w14:textId="77777777" w:rsidR="00F0541C" w:rsidRPr="00D71342" w:rsidRDefault="00F0541C" w:rsidP="00913D5D">
            <w:pPr>
              <w:ind w:left="68" w:right="-68" w:firstLine="2"/>
              <w:rPr>
                <w:sz w:val="14"/>
                <w:szCs w:val="14"/>
              </w:rPr>
            </w:pPr>
            <w:r w:rsidRPr="00D71342">
              <w:rPr>
                <w:sz w:val="14"/>
                <w:szCs w:val="14"/>
              </w:rPr>
              <w:t>Zeng y Ren (2022)</w:t>
            </w:r>
            <w:r w:rsidRPr="00D71342">
              <w:rPr>
                <w:sz w:val="14"/>
                <w:szCs w:val="14"/>
              </w:rPr>
              <w:br/>
              <w:t>Zheng y Li (2025)</w:t>
            </w:r>
          </w:p>
        </w:tc>
      </w:tr>
      <w:tr w:rsidR="00D71342" w:rsidRPr="00D71342" w14:paraId="2BB48522" w14:textId="77777777" w:rsidTr="00813F12">
        <w:trPr>
          <w:trHeight w:val="50"/>
        </w:trPr>
        <w:tc>
          <w:tcPr>
            <w:tcW w:w="1711" w:type="dxa"/>
            <w:vMerge w:val="restart"/>
            <w:tcBorders>
              <w:top w:val="single" w:sz="4" w:space="0" w:color="auto"/>
              <w:left w:val="nil"/>
              <w:right w:val="nil"/>
            </w:tcBorders>
            <w:noWrap/>
            <w:vAlign w:val="center"/>
            <w:hideMark/>
          </w:tcPr>
          <w:p w14:paraId="4A65E76A" w14:textId="77777777" w:rsidR="00F0541C" w:rsidRPr="00D71342" w:rsidRDefault="00F0541C" w:rsidP="00F0541C">
            <w:pPr>
              <w:ind w:right="80" w:firstLine="2"/>
              <w:jc w:val="center"/>
              <w:rPr>
                <w:b/>
                <w:bCs/>
                <w:sz w:val="14"/>
                <w:szCs w:val="14"/>
              </w:rPr>
            </w:pPr>
            <w:r w:rsidRPr="00D71342">
              <w:rPr>
                <w:b/>
                <w:bCs/>
                <w:sz w:val="14"/>
                <w:szCs w:val="14"/>
              </w:rPr>
              <w:t>Cualitativo</w:t>
            </w:r>
          </w:p>
        </w:tc>
        <w:tc>
          <w:tcPr>
            <w:tcW w:w="3141" w:type="dxa"/>
            <w:vMerge w:val="restart"/>
            <w:tcBorders>
              <w:top w:val="single" w:sz="4" w:space="0" w:color="auto"/>
              <w:left w:val="nil"/>
              <w:right w:val="nil"/>
            </w:tcBorders>
            <w:vAlign w:val="center"/>
            <w:hideMark/>
          </w:tcPr>
          <w:p w14:paraId="426BB1FD" w14:textId="77777777" w:rsidR="00F0541C" w:rsidRPr="00D71342" w:rsidRDefault="00F0541C" w:rsidP="00913D5D">
            <w:pPr>
              <w:ind w:right="102" w:firstLine="2"/>
              <w:rPr>
                <w:sz w:val="14"/>
                <w:szCs w:val="14"/>
              </w:rPr>
            </w:pPr>
            <w:r w:rsidRPr="00D71342">
              <w:rPr>
                <w:sz w:val="14"/>
                <w:szCs w:val="14"/>
              </w:rPr>
              <w:t>Proporciona una comprensión profunda de los procesos y significados detrás del emprendimiento verde.</w:t>
            </w:r>
          </w:p>
        </w:tc>
        <w:tc>
          <w:tcPr>
            <w:tcW w:w="3015" w:type="dxa"/>
            <w:tcBorders>
              <w:top w:val="single" w:sz="4" w:space="0" w:color="auto"/>
              <w:left w:val="nil"/>
              <w:bottom w:val="nil"/>
              <w:right w:val="nil"/>
            </w:tcBorders>
            <w:shd w:val="clear" w:color="000000" w:fill="BFBFBF"/>
            <w:vAlign w:val="center"/>
            <w:hideMark/>
          </w:tcPr>
          <w:p w14:paraId="389800A4" w14:textId="77777777" w:rsidR="00F0541C" w:rsidRPr="00D71342" w:rsidRDefault="00F0541C" w:rsidP="00913D5D">
            <w:pPr>
              <w:ind w:firstLine="2"/>
              <w:rPr>
                <w:sz w:val="14"/>
                <w:szCs w:val="14"/>
              </w:rPr>
            </w:pPr>
            <w:r w:rsidRPr="00D71342">
              <w:rPr>
                <w:sz w:val="14"/>
                <w:szCs w:val="14"/>
              </w:rPr>
              <w:t>Agrupación temporal de eventos</w:t>
            </w:r>
          </w:p>
        </w:tc>
        <w:tc>
          <w:tcPr>
            <w:tcW w:w="2055" w:type="dxa"/>
            <w:tcBorders>
              <w:top w:val="single" w:sz="4" w:space="0" w:color="auto"/>
              <w:left w:val="nil"/>
              <w:bottom w:val="nil"/>
              <w:right w:val="nil"/>
            </w:tcBorders>
            <w:shd w:val="clear" w:color="000000" w:fill="BFBFBF"/>
            <w:vAlign w:val="center"/>
            <w:hideMark/>
          </w:tcPr>
          <w:p w14:paraId="3A5D633A" w14:textId="77777777" w:rsidR="00F0541C" w:rsidRPr="00D71342" w:rsidRDefault="00F0541C" w:rsidP="00913D5D">
            <w:pPr>
              <w:ind w:left="68" w:right="-68" w:firstLine="2"/>
              <w:rPr>
                <w:sz w:val="14"/>
                <w:szCs w:val="14"/>
              </w:rPr>
            </w:pPr>
            <w:r w:rsidRPr="00D71342">
              <w:rPr>
                <w:sz w:val="14"/>
                <w:szCs w:val="14"/>
              </w:rPr>
              <w:t>Lemaire et al. (2022)</w:t>
            </w:r>
          </w:p>
        </w:tc>
      </w:tr>
      <w:tr w:rsidR="00D71342" w:rsidRPr="00D71342" w14:paraId="016A92B1" w14:textId="77777777" w:rsidTr="00813F12">
        <w:trPr>
          <w:trHeight w:val="93"/>
        </w:trPr>
        <w:tc>
          <w:tcPr>
            <w:tcW w:w="1711" w:type="dxa"/>
            <w:vMerge/>
            <w:tcBorders>
              <w:left w:val="nil"/>
              <w:right w:val="nil"/>
            </w:tcBorders>
            <w:noWrap/>
            <w:vAlign w:val="bottom"/>
            <w:hideMark/>
          </w:tcPr>
          <w:p w14:paraId="476433C1" w14:textId="77777777" w:rsidR="00F0541C" w:rsidRPr="00D71342" w:rsidRDefault="00F0541C" w:rsidP="00F0541C">
            <w:pPr>
              <w:ind w:right="80" w:firstLine="2"/>
              <w:jc w:val="center"/>
              <w:rPr>
                <w:b/>
                <w:bCs/>
                <w:sz w:val="14"/>
                <w:szCs w:val="14"/>
              </w:rPr>
            </w:pPr>
          </w:p>
        </w:tc>
        <w:tc>
          <w:tcPr>
            <w:tcW w:w="3141" w:type="dxa"/>
            <w:vMerge/>
            <w:tcBorders>
              <w:left w:val="nil"/>
              <w:right w:val="nil"/>
            </w:tcBorders>
            <w:vAlign w:val="center"/>
            <w:hideMark/>
          </w:tcPr>
          <w:p w14:paraId="6A225B1D" w14:textId="77777777" w:rsidR="00F0541C" w:rsidRPr="00D71342" w:rsidRDefault="00F0541C" w:rsidP="00913D5D">
            <w:pPr>
              <w:ind w:right="102" w:firstLine="2"/>
              <w:rPr>
                <w:sz w:val="14"/>
                <w:szCs w:val="14"/>
              </w:rPr>
            </w:pPr>
          </w:p>
        </w:tc>
        <w:tc>
          <w:tcPr>
            <w:tcW w:w="3015" w:type="dxa"/>
            <w:tcBorders>
              <w:top w:val="nil"/>
              <w:left w:val="nil"/>
              <w:bottom w:val="nil"/>
              <w:right w:val="nil"/>
            </w:tcBorders>
            <w:vAlign w:val="center"/>
            <w:hideMark/>
          </w:tcPr>
          <w:p w14:paraId="430E45DF" w14:textId="77777777" w:rsidR="00F0541C" w:rsidRPr="00D71342" w:rsidRDefault="00F0541C" w:rsidP="00913D5D">
            <w:pPr>
              <w:ind w:firstLine="2"/>
              <w:rPr>
                <w:sz w:val="14"/>
                <w:szCs w:val="14"/>
              </w:rPr>
            </w:pPr>
            <w:r w:rsidRPr="00D71342">
              <w:rPr>
                <w:sz w:val="14"/>
                <w:szCs w:val="14"/>
              </w:rPr>
              <w:t>Entrevistas en profundidad</w:t>
            </w:r>
          </w:p>
        </w:tc>
        <w:tc>
          <w:tcPr>
            <w:tcW w:w="2055" w:type="dxa"/>
            <w:tcBorders>
              <w:top w:val="nil"/>
              <w:left w:val="nil"/>
              <w:bottom w:val="nil"/>
              <w:right w:val="nil"/>
            </w:tcBorders>
            <w:vAlign w:val="center"/>
            <w:hideMark/>
          </w:tcPr>
          <w:p w14:paraId="159B49CA" w14:textId="77777777" w:rsidR="00F0541C" w:rsidRPr="00D71342" w:rsidRDefault="00F0541C" w:rsidP="00913D5D">
            <w:pPr>
              <w:ind w:left="68" w:right="-68" w:firstLine="2"/>
              <w:rPr>
                <w:sz w:val="14"/>
                <w:szCs w:val="14"/>
              </w:rPr>
            </w:pPr>
            <w:r w:rsidRPr="00D71342">
              <w:rPr>
                <w:sz w:val="14"/>
                <w:szCs w:val="14"/>
              </w:rPr>
              <w:t>Hermawan et al. (2025)</w:t>
            </w:r>
            <w:r w:rsidRPr="00D71342">
              <w:rPr>
                <w:sz w:val="14"/>
                <w:szCs w:val="14"/>
              </w:rPr>
              <w:br/>
              <w:t>Rahmawati et al. (2023)</w:t>
            </w:r>
          </w:p>
        </w:tc>
      </w:tr>
      <w:tr w:rsidR="00D71342" w:rsidRPr="00D71342" w14:paraId="2C96CEB9" w14:textId="77777777" w:rsidTr="00813F12">
        <w:trPr>
          <w:trHeight w:val="60"/>
        </w:trPr>
        <w:tc>
          <w:tcPr>
            <w:tcW w:w="1711" w:type="dxa"/>
            <w:vMerge/>
            <w:tcBorders>
              <w:left w:val="nil"/>
              <w:right w:val="nil"/>
            </w:tcBorders>
            <w:noWrap/>
            <w:vAlign w:val="bottom"/>
            <w:hideMark/>
          </w:tcPr>
          <w:p w14:paraId="708A4EA3" w14:textId="77777777" w:rsidR="00F0541C" w:rsidRPr="00D71342" w:rsidRDefault="00F0541C" w:rsidP="00F0541C">
            <w:pPr>
              <w:ind w:right="80" w:firstLine="2"/>
              <w:jc w:val="center"/>
              <w:rPr>
                <w:b/>
                <w:bCs/>
                <w:sz w:val="14"/>
                <w:szCs w:val="14"/>
              </w:rPr>
            </w:pPr>
          </w:p>
        </w:tc>
        <w:tc>
          <w:tcPr>
            <w:tcW w:w="3141" w:type="dxa"/>
            <w:vMerge/>
            <w:tcBorders>
              <w:left w:val="nil"/>
              <w:right w:val="nil"/>
            </w:tcBorders>
            <w:vAlign w:val="center"/>
            <w:hideMark/>
          </w:tcPr>
          <w:p w14:paraId="04F7C838" w14:textId="77777777" w:rsidR="00F0541C" w:rsidRPr="00D71342" w:rsidRDefault="00F0541C" w:rsidP="00913D5D">
            <w:pPr>
              <w:ind w:right="102" w:firstLine="2"/>
              <w:rPr>
                <w:sz w:val="14"/>
                <w:szCs w:val="14"/>
              </w:rPr>
            </w:pPr>
          </w:p>
        </w:tc>
        <w:tc>
          <w:tcPr>
            <w:tcW w:w="3015" w:type="dxa"/>
            <w:tcBorders>
              <w:top w:val="nil"/>
              <w:left w:val="nil"/>
              <w:bottom w:val="nil"/>
              <w:right w:val="nil"/>
            </w:tcBorders>
            <w:shd w:val="clear" w:color="000000" w:fill="BFBFBF"/>
            <w:vAlign w:val="center"/>
            <w:hideMark/>
          </w:tcPr>
          <w:p w14:paraId="30C8B4E2" w14:textId="77777777" w:rsidR="00F0541C" w:rsidRPr="00D71342" w:rsidRDefault="00F0541C" w:rsidP="00913D5D">
            <w:pPr>
              <w:ind w:firstLine="2"/>
              <w:rPr>
                <w:sz w:val="14"/>
                <w:szCs w:val="14"/>
              </w:rPr>
            </w:pPr>
            <w:r w:rsidRPr="00D71342">
              <w:rPr>
                <w:sz w:val="14"/>
                <w:szCs w:val="14"/>
              </w:rPr>
              <w:t>Muestreo de información</w:t>
            </w:r>
          </w:p>
        </w:tc>
        <w:tc>
          <w:tcPr>
            <w:tcW w:w="2055" w:type="dxa"/>
            <w:tcBorders>
              <w:top w:val="nil"/>
              <w:left w:val="nil"/>
              <w:bottom w:val="nil"/>
              <w:right w:val="nil"/>
            </w:tcBorders>
            <w:shd w:val="clear" w:color="000000" w:fill="BFBFBF"/>
            <w:vAlign w:val="center"/>
            <w:hideMark/>
          </w:tcPr>
          <w:p w14:paraId="1ECFFFD8" w14:textId="77777777" w:rsidR="00F0541C" w:rsidRPr="00D71342" w:rsidRDefault="00F0541C" w:rsidP="00913D5D">
            <w:pPr>
              <w:ind w:left="68" w:right="-68" w:firstLine="2"/>
              <w:rPr>
                <w:sz w:val="14"/>
                <w:szCs w:val="14"/>
              </w:rPr>
            </w:pPr>
            <w:r w:rsidRPr="00D71342">
              <w:rPr>
                <w:sz w:val="14"/>
                <w:szCs w:val="14"/>
              </w:rPr>
              <w:t>Rahmawati et al. (2021)</w:t>
            </w:r>
          </w:p>
        </w:tc>
      </w:tr>
      <w:tr w:rsidR="00D71342" w:rsidRPr="00D71342" w14:paraId="09A918DD" w14:textId="77777777" w:rsidTr="00813F12">
        <w:trPr>
          <w:trHeight w:val="60"/>
        </w:trPr>
        <w:tc>
          <w:tcPr>
            <w:tcW w:w="1711" w:type="dxa"/>
            <w:vMerge/>
            <w:tcBorders>
              <w:left w:val="nil"/>
              <w:right w:val="nil"/>
            </w:tcBorders>
            <w:noWrap/>
            <w:vAlign w:val="bottom"/>
            <w:hideMark/>
          </w:tcPr>
          <w:p w14:paraId="30854D19" w14:textId="77777777" w:rsidR="00F0541C" w:rsidRPr="00D71342" w:rsidRDefault="00F0541C" w:rsidP="00F0541C">
            <w:pPr>
              <w:ind w:right="80" w:firstLine="2"/>
              <w:jc w:val="center"/>
              <w:rPr>
                <w:b/>
                <w:bCs/>
                <w:sz w:val="14"/>
                <w:szCs w:val="14"/>
              </w:rPr>
            </w:pPr>
          </w:p>
        </w:tc>
        <w:tc>
          <w:tcPr>
            <w:tcW w:w="3141" w:type="dxa"/>
            <w:vMerge/>
            <w:tcBorders>
              <w:left w:val="nil"/>
              <w:right w:val="nil"/>
            </w:tcBorders>
            <w:vAlign w:val="center"/>
            <w:hideMark/>
          </w:tcPr>
          <w:p w14:paraId="04EB9346" w14:textId="77777777" w:rsidR="00F0541C" w:rsidRPr="00D71342" w:rsidRDefault="00F0541C" w:rsidP="00913D5D">
            <w:pPr>
              <w:ind w:right="102" w:firstLine="2"/>
              <w:rPr>
                <w:sz w:val="14"/>
                <w:szCs w:val="14"/>
              </w:rPr>
            </w:pPr>
          </w:p>
        </w:tc>
        <w:tc>
          <w:tcPr>
            <w:tcW w:w="3015" w:type="dxa"/>
            <w:tcBorders>
              <w:top w:val="nil"/>
              <w:left w:val="nil"/>
              <w:bottom w:val="nil"/>
              <w:right w:val="nil"/>
            </w:tcBorders>
            <w:vAlign w:val="center"/>
            <w:hideMark/>
          </w:tcPr>
          <w:p w14:paraId="5C7D9A14" w14:textId="77777777" w:rsidR="00F0541C" w:rsidRPr="00D71342" w:rsidRDefault="00F0541C" w:rsidP="00913D5D">
            <w:pPr>
              <w:ind w:firstLine="2"/>
              <w:rPr>
                <w:sz w:val="14"/>
                <w:szCs w:val="14"/>
              </w:rPr>
            </w:pPr>
            <w:r w:rsidRPr="00D71342">
              <w:rPr>
                <w:sz w:val="14"/>
                <w:szCs w:val="14"/>
              </w:rPr>
              <w:t>Proceso metodológico</w:t>
            </w:r>
          </w:p>
        </w:tc>
        <w:tc>
          <w:tcPr>
            <w:tcW w:w="2055" w:type="dxa"/>
            <w:tcBorders>
              <w:top w:val="nil"/>
              <w:left w:val="nil"/>
              <w:bottom w:val="nil"/>
              <w:right w:val="nil"/>
            </w:tcBorders>
            <w:vAlign w:val="center"/>
            <w:hideMark/>
          </w:tcPr>
          <w:p w14:paraId="598CCD34" w14:textId="77777777" w:rsidR="00F0541C" w:rsidRPr="00D71342" w:rsidRDefault="00F0541C" w:rsidP="00913D5D">
            <w:pPr>
              <w:ind w:left="68" w:right="-68" w:firstLine="2"/>
              <w:rPr>
                <w:sz w:val="14"/>
                <w:szCs w:val="14"/>
              </w:rPr>
            </w:pPr>
            <w:r w:rsidRPr="00D71342">
              <w:rPr>
                <w:sz w:val="14"/>
                <w:szCs w:val="14"/>
              </w:rPr>
              <w:t>Stork et al. (2023)</w:t>
            </w:r>
          </w:p>
        </w:tc>
      </w:tr>
      <w:tr w:rsidR="00D71342" w:rsidRPr="00D71342" w14:paraId="4EE4D235" w14:textId="77777777" w:rsidTr="00813F12">
        <w:trPr>
          <w:trHeight w:val="60"/>
        </w:trPr>
        <w:tc>
          <w:tcPr>
            <w:tcW w:w="1711" w:type="dxa"/>
            <w:vMerge/>
            <w:tcBorders>
              <w:left w:val="nil"/>
              <w:bottom w:val="single" w:sz="4" w:space="0" w:color="000000"/>
              <w:right w:val="nil"/>
            </w:tcBorders>
            <w:noWrap/>
            <w:vAlign w:val="bottom"/>
            <w:hideMark/>
          </w:tcPr>
          <w:p w14:paraId="372B8903" w14:textId="77777777" w:rsidR="00F0541C" w:rsidRPr="00D71342" w:rsidRDefault="00F0541C" w:rsidP="00F0541C">
            <w:pPr>
              <w:ind w:right="80" w:firstLine="2"/>
              <w:jc w:val="center"/>
              <w:rPr>
                <w:b/>
                <w:bCs/>
                <w:sz w:val="14"/>
                <w:szCs w:val="14"/>
              </w:rPr>
            </w:pPr>
          </w:p>
        </w:tc>
        <w:tc>
          <w:tcPr>
            <w:tcW w:w="3141" w:type="dxa"/>
            <w:vMerge/>
            <w:tcBorders>
              <w:left w:val="nil"/>
              <w:bottom w:val="single" w:sz="4" w:space="0" w:color="000000"/>
              <w:right w:val="nil"/>
            </w:tcBorders>
            <w:vAlign w:val="center"/>
            <w:hideMark/>
          </w:tcPr>
          <w:p w14:paraId="1C3410CF" w14:textId="77777777" w:rsidR="00F0541C" w:rsidRPr="00D71342" w:rsidRDefault="00F0541C" w:rsidP="00913D5D">
            <w:pPr>
              <w:ind w:right="102" w:firstLine="2"/>
              <w:rPr>
                <w:sz w:val="14"/>
                <w:szCs w:val="14"/>
              </w:rPr>
            </w:pPr>
          </w:p>
        </w:tc>
        <w:tc>
          <w:tcPr>
            <w:tcW w:w="3015" w:type="dxa"/>
            <w:tcBorders>
              <w:top w:val="nil"/>
              <w:left w:val="nil"/>
              <w:bottom w:val="single" w:sz="4" w:space="0" w:color="000000"/>
              <w:right w:val="nil"/>
            </w:tcBorders>
            <w:shd w:val="clear" w:color="000000" w:fill="BFBFBF"/>
            <w:vAlign w:val="center"/>
            <w:hideMark/>
          </w:tcPr>
          <w:p w14:paraId="14758B13" w14:textId="77777777" w:rsidR="00F0541C" w:rsidRPr="00D71342" w:rsidRDefault="00F0541C" w:rsidP="00913D5D">
            <w:pPr>
              <w:ind w:firstLine="2"/>
              <w:rPr>
                <w:sz w:val="14"/>
                <w:szCs w:val="14"/>
              </w:rPr>
            </w:pPr>
            <w:r w:rsidRPr="00D71342">
              <w:rPr>
                <w:sz w:val="14"/>
                <w:szCs w:val="14"/>
              </w:rPr>
              <w:t>Investigación documental</w:t>
            </w:r>
          </w:p>
        </w:tc>
        <w:tc>
          <w:tcPr>
            <w:tcW w:w="2055" w:type="dxa"/>
            <w:tcBorders>
              <w:top w:val="nil"/>
              <w:left w:val="nil"/>
              <w:bottom w:val="single" w:sz="4" w:space="0" w:color="000000"/>
              <w:right w:val="nil"/>
            </w:tcBorders>
            <w:shd w:val="clear" w:color="000000" w:fill="BFBFBF"/>
            <w:vAlign w:val="center"/>
            <w:hideMark/>
          </w:tcPr>
          <w:p w14:paraId="7C652261" w14:textId="77777777" w:rsidR="00F0541C" w:rsidRPr="00D71342" w:rsidRDefault="00F0541C" w:rsidP="00913D5D">
            <w:pPr>
              <w:ind w:left="68" w:right="-68" w:firstLine="2"/>
              <w:rPr>
                <w:sz w:val="14"/>
                <w:szCs w:val="14"/>
              </w:rPr>
            </w:pPr>
            <w:r w:rsidRPr="00D71342">
              <w:rPr>
                <w:sz w:val="14"/>
                <w:szCs w:val="14"/>
              </w:rPr>
              <w:t>Kansiime et al. (2025)</w:t>
            </w:r>
          </w:p>
        </w:tc>
      </w:tr>
      <w:tr w:rsidR="00D71342" w:rsidRPr="00D71342" w14:paraId="49A66836" w14:textId="77777777" w:rsidTr="00813F12">
        <w:trPr>
          <w:trHeight w:val="50"/>
        </w:trPr>
        <w:tc>
          <w:tcPr>
            <w:tcW w:w="1711" w:type="dxa"/>
            <w:vMerge w:val="restart"/>
            <w:tcBorders>
              <w:top w:val="single" w:sz="4" w:space="0" w:color="000000"/>
              <w:left w:val="nil"/>
              <w:right w:val="nil"/>
            </w:tcBorders>
            <w:noWrap/>
            <w:vAlign w:val="center"/>
          </w:tcPr>
          <w:p w14:paraId="3B61158B" w14:textId="77777777" w:rsidR="00F0541C" w:rsidRPr="00D71342" w:rsidRDefault="00F0541C" w:rsidP="00F0541C">
            <w:pPr>
              <w:ind w:right="80" w:firstLine="2"/>
              <w:jc w:val="center"/>
              <w:rPr>
                <w:b/>
                <w:bCs/>
                <w:sz w:val="14"/>
                <w:szCs w:val="14"/>
              </w:rPr>
            </w:pPr>
            <w:r w:rsidRPr="00D71342">
              <w:rPr>
                <w:b/>
                <w:bCs/>
                <w:sz w:val="14"/>
                <w:szCs w:val="14"/>
              </w:rPr>
              <w:t> </w:t>
            </w:r>
          </w:p>
          <w:p w14:paraId="16844A9E" w14:textId="77777777" w:rsidR="00F0541C" w:rsidRPr="00D71342" w:rsidRDefault="00F0541C" w:rsidP="00F0541C">
            <w:pPr>
              <w:ind w:right="80" w:firstLine="2"/>
              <w:jc w:val="center"/>
              <w:rPr>
                <w:b/>
                <w:bCs/>
                <w:sz w:val="14"/>
                <w:szCs w:val="14"/>
              </w:rPr>
            </w:pPr>
            <w:r w:rsidRPr="00D71342">
              <w:rPr>
                <w:b/>
                <w:bCs/>
                <w:sz w:val="14"/>
                <w:szCs w:val="14"/>
              </w:rPr>
              <w:t>Mixto</w:t>
            </w:r>
          </w:p>
          <w:p w14:paraId="6C2F500F" w14:textId="77777777" w:rsidR="00F0541C" w:rsidRPr="00D71342" w:rsidRDefault="00F0541C" w:rsidP="00F0541C">
            <w:pPr>
              <w:ind w:right="80" w:firstLine="2"/>
              <w:jc w:val="center"/>
              <w:rPr>
                <w:b/>
                <w:bCs/>
                <w:sz w:val="14"/>
                <w:szCs w:val="14"/>
              </w:rPr>
            </w:pPr>
          </w:p>
        </w:tc>
        <w:tc>
          <w:tcPr>
            <w:tcW w:w="3141" w:type="dxa"/>
            <w:vMerge w:val="restart"/>
            <w:tcBorders>
              <w:top w:val="single" w:sz="4" w:space="0" w:color="000000"/>
              <w:left w:val="nil"/>
              <w:right w:val="nil"/>
            </w:tcBorders>
            <w:vAlign w:val="center"/>
          </w:tcPr>
          <w:p w14:paraId="6E1F4648" w14:textId="77777777" w:rsidR="00F0541C" w:rsidRPr="00D71342" w:rsidRDefault="00F0541C" w:rsidP="00913D5D">
            <w:pPr>
              <w:ind w:right="102" w:firstLine="2"/>
              <w:rPr>
                <w:sz w:val="14"/>
                <w:szCs w:val="14"/>
              </w:rPr>
            </w:pPr>
            <w:r w:rsidRPr="00D71342">
              <w:rPr>
                <w:sz w:val="14"/>
                <w:szCs w:val="14"/>
              </w:rPr>
              <w:t>Combinación de metodologías en su mayoría, encuestas cuantitativas con técnicas cualitativas complementarias, teniendo como propósito el obtener una comprensión más completa.</w:t>
            </w:r>
          </w:p>
          <w:p w14:paraId="40D83BA8" w14:textId="77777777" w:rsidR="00F0541C" w:rsidRPr="00D71342" w:rsidRDefault="00F0541C" w:rsidP="00913D5D">
            <w:pPr>
              <w:ind w:right="102" w:firstLine="2"/>
              <w:rPr>
                <w:sz w:val="14"/>
                <w:szCs w:val="14"/>
              </w:rPr>
            </w:pPr>
            <w:r w:rsidRPr="00D71342">
              <w:rPr>
                <w:sz w:val="14"/>
                <w:szCs w:val="14"/>
              </w:rPr>
              <w:t> </w:t>
            </w:r>
          </w:p>
        </w:tc>
        <w:tc>
          <w:tcPr>
            <w:tcW w:w="3015" w:type="dxa"/>
            <w:tcBorders>
              <w:top w:val="single" w:sz="4" w:space="0" w:color="000000"/>
              <w:left w:val="nil"/>
              <w:bottom w:val="nil"/>
              <w:right w:val="nil"/>
            </w:tcBorders>
            <w:shd w:val="clear" w:color="000000" w:fill="BFBFBF"/>
            <w:vAlign w:val="center"/>
          </w:tcPr>
          <w:p w14:paraId="42756D7A" w14:textId="77777777" w:rsidR="00F0541C" w:rsidRPr="00D71342" w:rsidRDefault="00F0541C" w:rsidP="00913D5D">
            <w:pPr>
              <w:ind w:firstLine="2"/>
              <w:rPr>
                <w:sz w:val="14"/>
                <w:szCs w:val="14"/>
              </w:rPr>
            </w:pPr>
            <w:r w:rsidRPr="00D71342">
              <w:rPr>
                <w:sz w:val="14"/>
                <w:szCs w:val="14"/>
              </w:rPr>
              <w:t>Regresiones / Modelos estadísticos</w:t>
            </w:r>
          </w:p>
        </w:tc>
        <w:tc>
          <w:tcPr>
            <w:tcW w:w="2055" w:type="dxa"/>
            <w:tcBorders>
              <w:top w:val="single" w:sz="4" w:space="0" w:color="000000"/>
              <w:left w:val="nil"/>
              <w:bottom w:val="nil"/>
              <w:right w:val="nil"/>
            </w:tcBorders>
            <w:shd w:val="clear" w:color="000000" w:fill="BFBFBF"/>
            <w:vAlign w:val="center"/>
          </w:tcPr>
          <w:p w14:paraId="2DF5CC2B" w14:textId="77777777" w:rsidR="00F0541C" w:rsidRPr="00D71342" w:rsidRDefault="00F0541C" w:rsidP="00913D5D">
            <w:pPr>
              <w:ind w:left="68" w:right="-68" w:firstLine="2"/>
              <w:rPr>
                <w:sz w:val="14"/>
                <w:szCs w:val="14"/>
              </w:rPr>
            </w:pPr>
            <w:r w:rsidRPr="00D71342">
              <w:rPr>
                <w:sz w:val="14"/>
                <w:szCs w:val="14"/>
              </w:rPr>
              <w:t>Jin y Chorda (2025)</w:t>
            </w:r>
            <w:r w:rsidRPr="00D71342">
              <w:rPr>
                <w:sz w:val="14"/>
                <w:szCs w:val="14"/>
              </w:rPr>
              <w:br/>
              <w:t>Niemczyk et al. (2023)</w:t>
            </w:r>
          </w:p>
        </w:tc>
      </w:tr>
      <w:tr w:rsidR="00D71342" w:rsidRPr="00D71342" w14:paraId="5C97024F" w14:textId="77777777" w:rsidTr="00813F12">
        <w:trPr>
          <w:trHeight w:val="60"/>
        </w:trPr>
        <w:tc>
          <w:tcPr>
            <w:tcW w:w="1711" w:type="dxa"/>
            <w:vMerge/>
            <w:tcBorders>
              <w:left w:val="nil"/>
              <w:right w:val="nil"/>
            </w:tcBorders>
            <w:noWrap/>
            <w:vAlign w:val="center"/>
          </w:tcPr>
          <w:p w14:paraId="0FF8AA40" w14:textId="77777777" w:rsidR="00F0541C" w:rsidRPr="00D71342" w:rsidRDefault="00F0541C" w:rsidP="00F0541C">
            <w:pPr>
              <w:ind w:right="80" w:firstLine="2"/>
              <w:jc w:val="center"/>
              <w:rPr>
                <w:b/>
                <w:bCs/>
                <w:sz w:val="14"/>
                <w:szCs w:val="14"/>
              </w:rPr>
            </w:pPr>
          </w:p>
        </w:tc>
        <w:tc>
          <w:tcPr>
            <w:tcW w:w="3141" w:type="dxa"/>
            <w:vMerge/>
            <w:tcBorders>
              <w:left w:val="nil"/>
              <w:right w:val="nil"/>
            </w:tcBorders>
            <w:vAlign w:val="center"/>
          </w:tcPr>
          <w:p w14:paraId="51A8096E" w14:textId="77777777" w:rsidR="00F0541C" w:rsidRPr="00D71342" w:rsidRDefault="00F0541C" w:rsidP="00913D5D">
            <w:pPr>
              <w:ind w:right="102" w:firstLine="2"/>
              <w:rPr>
                <w:sz w:val="14"/>
                <w:szCs w:val="14"/>
              </w:rPr>
            </w:pPr>
          </w:p>
        </w:tc>
        <w:tc>
          <w:tcPr>
            <w:tcW w:w="3015" w:type="dxa"/>
            <w:tcBorders>
              <w:top w:val="nil"/>
              <w:left w:val="nil"/>
              <w:bottom w:val="nil"/>
              <w:right w:val="nil"/>
            </w:tcBorders>
            <w:vAlign w:val="center"/>
          </w:tcPr>
          <w:p w14:paraId="367E92EF" w14:textId="77777777" w:rsidR="00F0541C" w:rsidRPr="00D71342" w:rsidRDefault="00F0541C" w:rsidP="00913D5D">
            <w:pPr>
              <w:ind w:firstLine="2"/>
              <w:rPr>
                <w:sz w:val="14"/>
                <w:szCs w:val="14"/>
              </w:rPr>
            </w:pPr>
            <w:r w:rsidRPr="00D71342">
              <w:rPr>
                <w:sz w:val="14"/>
                <w:szCs w:val="14"/>
              </w:rPr>
              <w:t>Algoritmos de Machine Learning</w:t>
            </w:r>
          </w:p>
        </w:tc>
        <w:tc>
          <w:tcPr>
            <w:tcW w:w="2055" w:type="dxa"/>
            <w:tcBorders>
              <w:top w:val="nil"/>
              <w:left w:val="nil"/>
              <w:bottom w:val="nil"/>
              <w:right w:val="nil"/>
            </w:tcBorders>
            <w:vAlign w:val="center"/>
          </w:tcPr>
          <w:p w14:paraId="30D7A9BA" w14:textId="77777777" w:rsidR="00F0541C" w:rsidRPr="00D71342" w:rsidRDefault="00F0541C" w:rsidP="00913D5D">
            <w:pPr>
              <w:ind w:left="68" w:right="-68" w:firstLine="2"/>
              <w:rPr>
                <w:sz w:val="14"/>
                <w:szCs w:val="14"/>
              </w:rPr>
            </w:pPr>
            <w:r w:rsidRPr="00D71342">
              <w:rPr>
                <w:sz w:val="14"/>
                <w:szCs w:val="14"/>
              </w:rPr>
              <w:t>Rani et al. (2024)</w:t>
            </w:r>
          </w:p>
        </w:tc>
      </w:tr>
      <w:tr w:rsidR="00D71342" w:rsidRPr="00D71342" w14:paraId="562A364C" w14:textId="77777777" w:rsidTr="00813F12">
        <w:trPr>
          <w:trHeight w:val="60"/>
        </w:trPr>
        <w:tc>
          <w:tcPr>
            <w:tcW w:w="1711" w:type="dxa"/>
            <w:vMerge/>
            <w:tcBorders>
              <w:left w:val="nil"/>
              <w:right w:val="nil"/>
            </w:tcBorders>
            <w:noWrap/>
            <w:vAlign w:val="center"/>
          </w:tcPr>
          <w:p w14:paraId="28408451" w14:textId="77777777" w:rsidR="00F0541C" w:rsidRPr="00D71342" w:rsidRDefault="00F0541C" w:rsidP="00F0541C">
            <w:pPr>
              <w:ind w:right="80" w:firstLine="2"/>
              <w:jc w:val="center"/>
              <w:rPr>
                <w:b/>
                <w:bCs/>
                <w:sz w:val="14"/>
                <w:szCs w:val="14"/>
              </w:rPr>
            </w:pPr>
          </w:p>
        </w:tc>
        <w:tc>
          <w:tcPr>
            <w:tcW w:w="3141" w:type="dxa"/>
            <w:vMerge/>
            <w:tcBorders>
              <w:left w:val="nil"/>
              <w:right w:val="nil"/>
            </w:tcBorders>
            <w:vAlign w:val="center"/>
          </w:tcPr>
          <w:p w14:paraId="4E20D551" w14:textId="77777777" w:rsidR="00F0541C" w:rsidRPr="00D71342" w:rsidRDefault="00F0541C" w:rsidP="00913D5D">
            <w:pPr>
              <w:ind w:right="102" w:firstLine="2"/>
              <w:rPr>
                <w:sz w:val="14"/>
                <w:szCs w:val="14"/>
              </w:rPr>
            </w:pPr>
          </w:p>
        </w:tc>
        <w:tc>
          <w:tcPr>
            <w:tcW w:w="3015" w:type="dxa"/>
            <w:tcBorders>
              <w:top w:val="nil"/>
              <w:left w:val="nil"/>
              <w:bottom w:val="nil"/>
              <w:right w:val="nil"/>
            </w:tcBorders>
            <w:shd w:val="clear" w:color="000000" w:fill="BFBFBF"/>
            <w:vAlign w:val="center"/>
          </w:tcPr>
          <w:p w14:paraId="5CA45F9D" w14:textId="77777777" w:rsidR="00F0541C" w:rsidRPr="00D71342" w:rsidRDefault="00F0541C" w:rsidP="00913D5D">
            <w:pPr>
              <w:ind w:firstLine="2"/>
              <w:rPr>
                <w:sz w:val="14"/>
                <w:szCs w:val="14"/>
              </w:rPr>
            </w:pPr>
            <w:r w:rsidRPr="00D71342">
              <w:rPr>
                <w:sz w:val="14"/>
                <w:szCs w:val="14"/>
              </w:rPr>
              <w:t>Análisis comparativo cualitativo de conjunto difusos (fsQCA)</w:t>
            </w:r>
          </w:p>
        </w:tc>
        <w:tc>
          <w:tcPr>
            <w:tcW w:w="2055" w:type="dxa"/>
            <w:tcBorders>
              <w:top w:val="nil"/>
              <w:left w:val="nil"/>
              <w:bottom w:val="nil"/>
              <w:right w:val="nil"/>
            </w:tcBorders>
            <w:shd w:val="clear" w:color="000000" w:fill="BFBFBF"/>
            <w:vAlign w:val="center"/>
          </w:tcPr>
          <w:p w14:paraId="28F4E60D" w14:textId="77777777" w:rsidR="00F0541C" w:rsidRPr="00D71342" w:rsidRDefault="00F0541C" w:rsidP="00913D5D">
            <w:pPr>
              <w:ind w:left="68" w:right="-68" w:firstLine="2"/>
              <w:rPr>
                <w:sz w:val="14"/>
                <w:szCs w:val="14"/>
              </w:rPr>
            </w:pPr>
            <w:r w:rsidRPr="00D71342">
              <w:rPr>
                <w:sz w:val="14"/>
                <w:szCs w:val="14"/>
              </w:rPr>
              <w:t>Ding et al. (2025)</w:t>
            </w:r>
            <w:r w:rsidRPr="00D71342">
              <w:rPr>
                <w:sz w:val="14"/>
                <w:szCs w:val="14"/>
              </w:rPr>
              <w:br/>
              <w:t>Jin y Chorda (2025)</w:t>
            </w:r>
          </w:p>
        </w:tc>
      </w:tr>
      <w:tr w:rsidR="00D71342" w:rsidRPr="00D71342" w14:paraId="799D0D99" w14:textId="77777777" w:rsidTr="00813F12">
        <w:trPr>
          <w:trHeight w:val="149"/>
        </w:trPr>
        <w:tc>
          <w:tcPr>
            <w:tcW w:w="1711" w:type="dxa"/>
            <w:vMerge/>
            <w:tcBorders>
              <w:left w:val="nil"/>
              <w:bottom w:val="nil"/>
              <w:right w:val="nil"/>
            </w:tcBorders>
            <w:noWrap/>
            <w:vAlign w:val="center"/>
          </w:tcPr>
          <w:p w14:paraId="2C71D694" w14:textId="77777777" w:rsidR="00F0541C" w:rsidRPr="00D71342" w:rsidRDefault="00F0541C" w:rsidP="00F0541C">
            <w:pPr>
              <w:ind w:right="80" w:firstLine="2"/>
              <w:jc w:val="center"/>
              <w:rPr>
                <w:b/>
                <w:bCs/>
                <w:sz w:val="14"/>
                <w:szCs w:val="14"/>
              </w:rPr>
            </w:pPr>
          </w:p>
        </w:tc>
        <w:tc>
          <w:tcPr>
            <w:tcW w:w="3141" w:type="dxa"/>
            <w:vMerge/>
            <w:tcBorders>
              <w:left w:val="nil"/>
              <w:bottom w:val="nil"/>
              <w:right w:val="nil"/>
            </w:tcBorders>
            <w:vAlign w:val="center"/>
          </w:tcPr>
          <w:p w14:paraId="2641C4DB" w14:textId="77777777" w:rsidR="00F0541C" w:rsidRPr="00D71342" w:rsidRDefault="00F0541C" w:rsidP="00913D5D">
            <w:pPr>
              <w:ind w:right="102" w:firstLine="2"/>
              <w:rPr>
                <w:sz w:val="14"/>
                <w:szCs w:val="14"/>
              </w:rPr>
            </w:pPr>
          </w:p>
        </w:tc>
        <w:tc>
          <w:tcPr>
            <w:tcW w:w="3015" w:type="dxa"/>
            <w:tcBorders>
              <w:top w:val="nil"/>
              <w:left w:val="nil"/>
              <w:bottom w:val="nil"/>
              <w:right w:val="nil"/>
            </w:tcBorders>
            <w:vAlign w:val="center"/>
          </w:tcPr>
          <w:p w14:paraId="4429DE46" w14:textId="77777777" w:rsidR="00F0541C" w:rsidRPr="00D71342" w:rsidRDefault="00F0541C" w:rsidP="00913D5D">
            <w:pPr>
              <w:ind w:firstLine="2"/>
              <w:rPr>
                <w:sz w:val="14"/>
                <w:szCs w:val="14"/>
              </w:rPr>
            </w:pPr>
            <w:r w:rsidRPr="00D71342">
              <w:rPr>
                <w:sz w:val="14"/>
                <w:szCs w:val="14"/>
              </w:rPr>
              <w:t>Mediciones estratégicas</w:t>
            </w:r>
          </w:p>
        </w:tc>
        <w:tc>
          <w:tcPr>
            <w:tcW w:w="2055" w:type="dxa"/>
            <w:tcBorders>
              <w:top w:val="nil"/>
              <w:left w:val="nil"/>
              <w:bottom w:val="nil"/>
              <w:right w:val="nil"/>
            </w:tcBorders>
            <w:vAlign w:val="center"/>
          </w:tcPr>
          <w:p w14:paraId="1540FFAB" w14:textId="77777777" w:rsidR="00F0541C" w:rsidRPr="00D71342" w:rsidRDefault="00F0541C" w:rsidP="00913D5D">
            <w:pPr>
              <w:ind w:left="68" w:right="-68" w:firstLine="2"/>
              <w:rPr>
                <w:sz w:val="14"/>
                <w:szCs w:val="14"/>
              </w:rPr>
            </w:pPr>
            <w:r w:rsidRPr="00D71342">
              <w:rPr>
                <w:sz w:val="14"/>
                <w:szCs w:val="14"/>
              </w:rPr>
              <w:t>Sarvari et al. (2023)</w:t>
            </w:r>
            <w:r w:rsidRPr="00D71342">
              <w:rPr>
                <w:sz w:val="14"/>
                <w:szCs w:val="14"/>
              </w:rPr>
              <w:br/>
              <w:t>Stadnyk et al. (2021)</w:t>
            </w:r>
          </w:p>
        </w:tc>
      </w:tr>
      <w:tr w:rsidR="00D71342" w:rsidRPr="00D71342" w14:paraId="5D9C4141" w14:textId="77777777" w:rsidTr="00813F12">
        <w:trPr>
          <w:trHeight w:val="50"/>
        </w:trPr>
        <w:tc>
          <w:tcPr>
            <w:tcW w:w="1711" w:type="dxa"/>
            <w:vMerge w:val="restart"/>
            <w:tcBorders>
              <w:top w:val="single" w:sz="4" w:space="0" w:color="auto"/>
              <w:left w:val="nil"/>
              <w:right w:val="nil"/>
            </w:tcBorders>
            <w:noWrap/>
            <w:vAlign w:val="center"/>
          </w:tcPr>
          <w:p w14:paraId="191F958E" w14:textId="77777777" w:rsidR="00F0541C" w:rsidRPr="00D71342" w:rsidRDefault="00F0541C" w:rsidP="00F0541C">
            <w:pPr>
              <w:ind w:right="80" w:firstLine="2"/>
              <w:jc w:val="center"/>
              <w:rPr>
                <w:b/>
                <w:bCs/>
                <w:sz w:val="14"/>
                <w:szCs w:val="14"/>
              </w:rPr>
            </w:pPr>
            <w:r w:rsidRPr="00D71342">
              <w:rPr>
                <w:b/>
                <w:bCs/>
                <w:sz w:val="14"/>
                <w:szCs w:val="14"/>
              </w:rPr>
              <w:t>Revisión sistemática / Bibliometría</w:t>
            </w:r>
          </w:p>
          <w:p w14:paraId="6BB91C82" w14:textId="77777777" w:rsidR="00F0541C" w:rsidRPr="00D71342" w:rsidRDefault="00F0541C" w:rsidP="00F0541C">
            <w:pPr>
              <w:ind w:right="80" w:firstLine="2"/>
              <w:jc w:val="center"/>
              <w:rPr>
                <w:b/>
                <w:bCs/>
                <w:sz w:val="14"/>
                <w:szCs w:val="14"/>
              </w:rPr>
            </w:pPr>
          </w:p>
        </w:tc>
        <w:tc>
          <w:tcPr>
            <w:tcW w:w="3141" w:type="dxa"/>
            <w:vMerge w:val="restart"/>
            <w:tcBorders>
              <w:top w:val="single" w:sz="4" w:space="0" w:color="auto"/>
              <w:left w:val="nil"/>
              <w:right w:val="nil"/>
            </w:tcBorders>
            <w:vAlign w:val="center"/>
          </w:tcPr>
          <w:p w14:paraId="3787A2B6" w14:textId="77777777" w:rsidR="00F0541C" w:rsidRPr="00D71342" w:rsidRDefault="00F0541C" w:rsidP="00913D5D">
            <w:pPr>
              <w:ind w:right="102" w:firstLine="2"/>
              <w:rPr>
                <w:sz w:val="14"/>
                <w:szCs w:val="14"/>
              </w:rPr>
            </w:pPr>
            <w:r w:rsidRPr="00D71342">
              <w:rPr>
                <w:sz w:val="14"/>
                <w:szCs w:val="14"/>
              </w:rPr>
              <w:t>Metodologías estructuradas y replicables para organizar la vasta y fragmentada literatura sobre emprendimiento verde</w:t>
            </w:r>
          </w:p>
          <w:p w14:paraId="6979E0C7" w14:textId="77777777" w:rsidR="00F0541C" w:rsidRPr="00D71342" w:rsidRDefault="00F0541C" w:rsidP="00913D5D">
            <w:pPr>
              <w:ind w:right="102" w:firstLine="2"/>
              <w:rPr>
                <w:sz w:val="14"/>
                <w:szCs w:val="14"/>
              </w:rPr>
            </w:pPr>
            <w:r w:rsidRPr="00D71342">
              <w:rPr>
                <w:sz w:val="14"/>
                <w:szCs w:val="14"/>
              </w:rPr>
              <w:t> </w:t>
            </w:r>
          </w:p>
        </w:tc>
        <w:tc>
          <w:tcPr>
            <w:tcW w:w="3015" w:type="dxa"/>
            <w:tcBorders>
              <w:top w:val="single" w:sz="4" w:space="0" w:color="auto"/>
              <w:left w:val="nil"/>
              <w:bottom w:val="nil"/>
              <w:right w:val="nil"/>
            </w:tcBorders>
            <w:shd w:val="clear" w:color="auto" w:fill="BFBFBF" w:themeFill="background1" w:themeFillShade="BF"/>
            <w:vAlign w:val="center"/>
          </w:tcPr>
          <w:p w14:paraId="03B12922" w14:textId="77777777" w:rsidR="00F0541C" w:rsidRPr="00D71342" w:rsidRDefault="00F0541C" w:rsidP="00913D5D">
            <w:pPr>
              <w:ind w:firstLine="2"/>
              <w:rPr>
                <w:sz w:val="14"/>
                <w:szCs w:val="14"/>
              </w:rPr>
            </w:pPr>
            <w:r w:rsidRPr="00D71342">
              <w:rPr>
                <w:sz w:val="14"/>
                <w:szCs w:val="14"/>
              </w:rPr>
              <w:t>PRISMA</w:t>
            </w:r>
          </w:p>
        </w:tc>
        <w:tc>
          <w:tcPr>
            <w:tcW w:w="2055" w:type="dxa"/>
            <w:tcBorders>
              <w:top w:val="single" w:sz="4" w:space="0" w:color="auto"/>
              <w:left w:val="nil"/>
              <w:bottom w:val="nil"/>
              <w:right w:val="nil"/>
            </w:tcBorders>
            <w:shd w:val="clear" w:color="auto" w:fill="BFBFBF" w:themeFill="background1" w:themeFillShade="BF"/>
            <w:vAlign w:val="center"/>
          </w:tcPr>
          <w:p w14:paraId="3E83B3FA" w14:textId="77777777" w:rsidR="00F0541C" w:rsidRPr="00D71342" w:rsidRDefault="00F0541C" w:rsidP="00913D5D">
            <w:pPr>
              <w:ind w:left="68" w:right="-68" w:firstLine="2"/>
              <w:rPr>
                <w:sz w:val="14"/>
                <w:szCs w:val="14"/>
              </w:rPr>
            </w:pPr>
            <w:r w:rsidRPr="00D71342">
              <w:rPr>
                <w:sz w:val="14"/>
                <w:szCs w:val="14"/>
              </w:rPr>
              <w:t>Albhirat et al. (2024)</w:t>
            </w:r>
            <w:r w:rsidRPr="00D71342">
              <w:rPr>
                <w:sz w:val="14"/>
                <w:szCs w:val="14"/>
              </w:rPr>
              <w:br/>
              <w:t>Tuncer y Korchagina (2024)</w:t>
            </w:r>
          </w:p>
        </w:tc>
      </w:tr>
      <w:tr w:rsidR="00D71342" w:rsidRPr="00D71342" w14:paraId="45E71370" w14:textId="77777777" w:rsidTr="00813F12">
        <w:trPr>
          <w:trHeight w:val="73"/>
        </w:trPr>
        <w:tc>
          <w:tcPr>
            <w:tcW w:w="1711" w:type="dxa"/>
            <w:vMerge/>
            <w:tcBorders>
              <w:left w:val="nil"/>
              <w:right w:val="nil"/>
            </w:tcBorders>
            <w:vAlign w:val="center"/>
          </w:tcPr>
          <w:p w14:paraId="4E8046BC" w14:textId="77777777" w:rsidR="00F0541C" w:rsidRPr="00D71342" w:rsidRDefault="00F0541C" w:rsidP="00F0541C">
            <w:pPr>
              <w:ind w:right="80" w:firstLine="2"/>
              <w:jc w:val="center"/>
              <w:rPr>
                <w:sz w:val="14"/>
                <w:szCs w:val="14"/>
              </w:rPr>
            </w:pPr>
          </w:p>
        </w:tc>
        <w:tc>
          <w:tcPr>
            <w:tcW w:w="3141" w:type="dxa"/>
            <w:vMerge/>
            <w:tcBorders>
              <w:left w:val="nil"/>
              <w:right w:val="nil"/>
            </w:tcBorders>
            <w:vAlign w:val="center"/>
          </w:tcPr>
          <w:p w14:paraId="2A267842" w14:textId="77777777" w:rsidR="00F0541C" w:rsidRPr="00D71342" w:rsidRDefault="00F0541C" w:rsidP="00913D5D">
            <w:pPr>
              <w:ind w:right="102" w:firstLine="2"/>
              <w:rPr>
                <w:sz w:val="14"/>
                <w:szCs w:val="14"/>
              </w:rPr>
            </w:pPr>
          </w:p>
        </w:tc>
        <w:tc>
          <w:tcPr>
            <w:tcW w:w="3015" w:type="dxa"/>
            <w:tcBorders>
              <w:top w:val="nil"/>
              <w:left w:val="nil"/>
              <w:bottom w:val="nil"/>
              <w:right w:val="nil"/>
            </w:tcBorders>
            <w:vAlign w:val="center"/>
          </w:tcPr>
          <w:p w14:paraId="20E04D47" w14:textId="77777777" w:rsidR="00F0541C" w:rsidRPr="00D71342" w:rsidRDefault="00F0541C" w:rsidP="00913D5D">
            <w:pPr>
              <w:ind w:firstLine="2"/>
              <w:rPr>
                <w:sz w:val="14"/>
                <w:szCs w:val="14"/>
              </w:rPr>
            </w:pPr>
            <w:r w:rsidRPr="00D71342">
              <w:rPr>
                <w:sz w:val="14"/>
                <w:szCs w:val="14"/>
              </w:rPr>
              <w:t xml:space="preserve">SPAR-4-SLR </w:t>
            </w:r>
          </w:p>
        </w:tc>
        <w:tc>
          <w:tcPr>
            <w:tcW w:w="2055" w:type="dxa"/>
            <w:tcBorders>
              <w:top w:val="nil"/>
              <w:left w:val="nil"/>
              <w:bottom w:val="nil"/>
              <w:right w:val="nil"/>
            </w:tcBorders>
            <w:vAlign w:val="center"/>
          </w:tcPr>
          <w:p w14:paraId="58015357" w14:textId="77777777" w:rsidR="00F0541C" w:rsidRPr="00D71342" w:rsidRDefault="00F0541C" w:rsidP="00913D5D">
            <w:pPr>
              <w:ind w:left="68" w:right="-68" w:firstLine="2"/>
              <w:rPr>
                <w:sz w:val="14"/>
                <w:szCs w:val="14"/>
              </w:rPr>
            </w:pPr>
            <w:r w:rsidRPr="00D71342">
              <w:rPr>
                <w:sz w:val="14"/>
                <w:szCs w:val="14"/>
              </w:rPr>
              <w:t>Singh et al. (2025)</w:t>
            </w:r>
            <w:r w:rsidRPr="00D71342">
              <w:rPr>
                <w:sz w:val="14"/>
                <w:szCs w:val="14"/>
              </w:rPr>
              <w:br/>
              <w:t>Sugiyanto et al. (2024)</w:t>
            </w:r>
          </w:p>
        </w:tc>
      </w:tr>
      <w:tr w:rsidR="00D71342" w:rsidRPr="00D71342" w14:paraId="3B57C0D2" w14:textId="77777777" w:rsidTr="00813F12">
        <w:trPr>
          <w:trHeight w:val="60"/>
        </w:trPr>
        <w:tc>
          <w:tcPr>
            <w:tcW w:w="1711" w:type="dxa"/>
            <w:vMerge/>
            <w:tcBorders>
              <w:left w:val="nil"/>
              <w:right w:val="nil"/>
            </w:tcBorders>
            <w:vAlign w:val="center"/>
          </w:tcPr>
          <w:p w14:paraId="4CE17991" w14:textId="77777777" w:rsidR="00F0541C" w:rsidRPr="00D71342" w:rsidRDefault="00F0541C" w:rsidP="00F0541C">
            <w:pPr>
              <w:ind w:right="80" w:firstLine="2"/>
              <w:jc w:val="center"/>
              <w:rPr>
                <w:sz w:val="14"/>
                <w:szCs w:val="14"/>
              </w:rPr>
            </w:pPr>
          </w:p>
        </w:tc>
        <w:tc>
          <w:tcPr>
            <w:tcW w:w="3141" w:type="dxa"/>
            <w:vMerge/>
            <w:tcBorders>
              <w:left w:val="nil"/>
              <w:right w:val="nil"/>
            </w:tcBorders>
            <w:vAlign w:val="center"/>
          </w:tcPr>
          <w:p w14:paraId="01018D44" w14:textId="77777777" w:rsidR="00F0541C" w:rsidRPr="00D71342" w:rsidRDefault="00F0541C" w:rsidP="00913D5D">
            <w:pPr>
              <w:ind w:right="102" w:firstLine="2"/>
              <w:rPr>
                <w:sz w:val="14"/>
                <w:szCs w:val="14"/>
              </w:rPr>
            </w:pPr>
          </w:p>
        </w:tc>
        <w:tc>
          <w:tcPr>
            <w:tcW w:w="3015" w:type="dxa"/>
            <w:tcBorders>
              <w:top w:val="nil"/>
              <w:left w:val="nil"/>
              <w:right w:val="nil"/>
            </w:tcBorders>
            <w:shd w:val="clear" w:color="auto" w:fill="BFBFBF" w:themeFill="background1" w:themeFillShade="BF"/>
            <w:vAlign w:val="center"/>
          </w:tcPr>
          <w:p w14:paraId="33951829" w14:textId="77777777" w:rsidR="00F0541C" w:rsidRPr="00D71342" w:rsidRDefault="00F0541C" w:rsidP="00913D5D">
            <w:pPr>
              <w:ind w:firstLine="2"/>
              <w:rPr>
                <w:sz w:val="14"/>
                <w:szCs w:val="14"/>
              </w:rPr>
            </w:pPr>
            <w:r w:rsidRPr="00D71342">
              <w:rPr>
                <w:sz w:val="14"/>
                <w:szCs w:val="14"/>
              </w:rPr>
              <w:t>Marco TCCM</w:t>
            </w:r>
          </w:p>
        </w:tc>
        <w:tc>
          <w:tcPr>
            <w:tcW w:w="2055" w:type="dxa"/>
            <w:tcBorders>
              <w:top w:val="nil"/>
              <w:left w:val="nil"/>
              <w:right w:val="nil"/>
            </w:tcBorders>
            <w:shd w:val="clear" w:color="auto" w:fill="BFBFBF" w:themeFill="background1" w:themeFillShade="BF"/>
            <w:vAlign w:val="center"/>
          </w:tcPr>
          <w:p w14:paraId="79CCA80C" w14:textId="77777777" w:rsidR="00F0541C" w:rsidRPr="00D71342" w:rsidRDefault="00F0541C" w:rsidP="00913D5D">
            <w:pPr>
              <w:ind w:left="68" w:right="-68" w:firstLine="2"/>
              <w:rPr>
                <w:sz w:val="14"/>
                <w:szCs w:val="14"/>
              </w:rPr>
            </w:pPr>
            <w:r w:rsidRPr="00D71342">
              <w:rPr>
                <w:sz w:val="14"/>
                <w:szCs w:val="14"/>
              </w:rPr>
              <w:t>Singh et al. (2025)</w:t>
            </w:r>
            <w:r w:rsidRPr="00D71342">
              <w:rPr>
                <w:sz w:val="14"/>
                <w:szCs w:val="14"/>
              </w:rPr>
              <w:br/>
              <w:t>Vijaykumar et al. (2025)</w:t>
            </w:r>
          </w:p>
        </w:tc>
      </w:tr>
      <w:tr w:rsidR="00D71342" w:rsidRPr="00D71342" w14:paraId="55B40C27" w14:textId="77777777" w:rsidTr="00813F12">
        <w:trPr>
          <w:trHeight w:val="280"/>
        </w:trPr>
        <w:tc>
          <w:tcPr>
            <w:tcW w:w="1711" w:type="dxa"/>
            <w:vMerge/>
            <w:tcBorders>
              <w:left w:val="nil"/>
              <w:right w:val="nil"/>
            </w:tcBorders>
            <w:vAlign w:val="center"/>
          </w:tcPr>
          <w:p w14:paraId="308CFC1A" w14:textId="77777777" w:rsidR="00F0541C" w:rsidRPr="00D71342" w:rsidRDefault="00F0541C" w:rsidP="00F0541C">
            <w:pPr>
              <w:ind w:right="80" w:firstLine="2"/>
              <w:jc w:val="center"/>
              <w:rPr>
                <w:sz w:val="14"/>
                <w:szCs w:val="14"/>
              </w:rPr>
            </w:pPr>
          </w:p>
        </w:tc>
        <w:tc>
          <w:tcPr>
            <w:tcW w:w="3141" w:type="dxa"/>
            <w:vMerge/>
            <w:tcBorders>
              <w:left w:val="nil"/>
              <w:right w:val="nil"/>
            </w:tcBorders>
            <w:vAlign w:val="center"/>
          </w:tcPr>
          <w:p w14:paraId="2BB033AF" w14:textId="77777777" w:rsidR="00F0541C" w:rsidRPr="00D71342" w:rsidRDefault="00F0541C" w:rsidP="00913D5D">
            <w:pPr>
              <w:ind w:right="102" w:firstLine="2"/>
              <w:rPr>
                <w:sz w:val="14"/>
                <w:szCs w:val="14"/>
              </w:rPr>
            </w:pPr>
          </w:p>
        </w:tc>
        <w:tc>
          <w:tcPr>
            <w:tcW w:w="3015" w:type="dxa"/>
            <w:tcBorders>
              <w:top w:val="nil"/>
              <w:left w:val="nil"/>
              <w:right w:val="nil"/>
            </w:tcBorders>
            <w:vAlign w:val="center"/>
          </w:tcPr>
          <w:p w14:paraId="21BB89EE" w14:textId="77777777" w:rsidR="00F0541C" w:rsidRPr="00D71342" w:rsidRDefault="00F0541C" w:rsidP="00913D5D">
            <w:pPr>
              <w:ind w:firstLine="2"/>
              <w:rPr>
                <w:sz w:val="14"/>
                <w:szCs w:val="14"/>
              </w:rPr>
            </w:pPr>
            <w:r w:rsidRPr="00D71342">
              <w:rPr>
                <w:sz w:val="14"/>
                <w:szCs w:val="14"/>
              </w:rPr>
              <w:t>Revisiones críticas de literatura</w:t>
            </w:r>
          </w:p>
        </w:tc>
        <w:tc>
          <w:tcPr>
            <w:tcW w:w="2055" w:type="dxa"/>
            <w:tcBorders>
              <w:top w:val="nil"/>
              <w:left w:val="nil"/>
              <w:right w:val="nil"/>
            </w:tcBorders>
            <w:vAlign w:val="center"/>
          </w:tcPr>
          <w:p w14:paraId="32A742A2" w14:textId="77777777" w:rsidR="00F0541C" w:rsidRPr="00D71342" w:rsidRDefault="00F0541C" w:rsidP="00913D5D">
            <w:pPr>
              <w:ind w:left="68" w:right="-68" w:firstLine="2"/>
              <w:rPr>
                <w:sz w:val="14"/>
                <w:szCs w:val="14"/>
              </w:rPr>
            </w:pPr>
            <w:r w:rsidRPr="00D71342">
              <w:rPr>
                <w:sz w:val="14"/>
                <w:szCs w:val="14"/>
              </w:rPr>
              <w:t>Pertuz et al. (2021)</w:t>
            </w:r>
            <w:r w:rsidRPr="00D71342">
              <w:rPr>
                <w:sz w:val="14"/>
                <w:szCs w:val="14"/>
              </w:rPr>
              <w:br/>
              <w:t>Potluri et al. (2024)</w:t>
            </w:r>
            <w:r w:rsidRPr="00D71342">
              <w:rPr>
                <w:sz w:val="14"/>
                <w:szCs w:val="14"/>
              </w:rPr>
              <w:br/>
              <w:t>Raimi et al. (2024)</w:t>
            </w:r>
          </w:p>
        </w:tc>
      </w:tr>
      <w:tr w:rsidR="00D71342" w:rsidRPr="00D71342" w14:paraId="1EC85CE9" w14:textId="77777777" w:rsidTr="00813F12">
        <w:trPr>
          <w:trHeight w:val="533"/>
        </w:trPr>
        <w:tc>
          <w:tcPr>
            <w:tcW w:w="1711" w:type="dxa"/>
            <w:vMerge/>
            <w:tcBorders>
              <w:left w:val="nil"/>
              <w:bottom w:val="single" w:sz="4" w:space="0" w:color="auto"/>
              <w:right w:val="nil"/>
            </w:tcBorders>
            <w:vAlign w:val="center"/>
          </w:tcPr>
          <w:p w14:paraId="7743230F" w14:textId="77777777" w:rsidR="00F0541C" w:rsidRPr="00D71342" w:rsidRDefault="00F0541C" w:rsidP="00F0541C">
            <w:pPr>
              <w:ind w:right="80" w:firstLine="2"/>
              <w:jc w:val="center"/>
              <w:rPr>
                <w:sz w:val="14"/>
                <w:szCs w:val="14"/>
              </w:rPr>
            </w:pPr>
          </w:p>
        </w:tc>
        <w:tc>
          <w:tcPr>
            <w:tcW w:w="3141" w:type="dxa"/>
            <w:vMerge/>
            <w:tcBorders>
              <w:left w:val="nil"/>
              <w:bottom w:val="single" w:sz="4" w:space="0" w:color="auto"/>
              <w:right w:val="nil"/>
            </w:tcBorders>
            <w:vAlign w:val="center"/>
          </w:tcPr>
          <w:p w14:paraId="65A4F00E" w14:textId="77777777" w:rsidR="00F0541C" w:rsidRPr="00D71342" w:rsidRDefault="00F0541C" w:rsidP="00913D5D">
            <w:pPr>
              <w:ind w:right="102" w:firstLine="2"/>
              <w:rPr>
                <w:sz w:val="14"/>
                <w:szCs w:val="14"/>
              </w:rPr>
            </w:pPr>
          </w:p>
        </w:tc>
        <w:tc>
          <w:tcPr>
            <w:tcW w:w="3015" w:type="dxa"/>
            <w:tcBorders>
              <w:left w:val="nil"/>
              <w:bottom w:val="single" w:sz="4" w:space="0" w:color="000000"/>
              <w:right w:val="nil"/>
            </w:tcBorders>
            <w:shd w:val="clear" w:color="000000" w:fill="BFBFBF"/>
            <w:vAlign w:val="center"/>
          </w:tcPr>
          <w:p w14:paraId="039A41CD" w14:textId="77777777" w:rsidR="00F0541C" w:rsidRPr="00D71342" w:rsidRDefault="00F0541C" w:rsidP="00913D5D">
            <w:pPr>
              <w:ind w:firstLine="2"/>
              <w:rPr>
                <w:sz w:val="14"/>
                <w:szCs w:val="14"/>
              </w:rPr>
            </w:pPr>
            <w:r w:rsidRPr="00D71342">
              <w:rPr>
                <w:sz w:val="14"/>
                <w:szCs w:val="14"/>
              </w:rPr>
              <w:t>Herramientas computacionales y estadística</w:t>
            </w:r>
          </w:p>
        </w:tc>
        <w:tc>
          <w:tcPr>
            <w:tcW w:w="2055" w:type="dxa"/>
            <w:tcBorders>
              <w:left w:val="nil"/>
              <w:bottom w:val="single" w:sz="4" w:space="0" w:color="auto"/>
              <w:right w:val="nil"/>
            </w:tcBorders>
            <w:shd w:val="clear" w:color="000000" w:fill="BFBFBF"/>
            <w:vAlign w:val="center"/>
          </w:tcPr>
          <w:p w14:paraId="4FDAFA7D" w14:textId="77777777" w:rsidR="00F0541C" w:rsidRPr="00D71342" w:rsidRDefault="00F0541C" w:rsidP="00913D5D">
            <w:pPr>
              <w:ind w:left="68" w:right="-68" w:firstLine="2"/>
              <w:rPr>
                <w:sz w:val="14"/>
                <w:szCs w:val="14"/>
              </w:rPr>
            </w:pPr>
            <w:r w:rsidRPr="00D71342">
              <w:rPr>
                <w:sz w:val="14"/>
                <w:szCs w:val="14"/>
              </w:rPr>
              <w:t>Kozar y Sulich (2023)</w:t>
            </w:r>
            <w:r w:rsidRPr="00D71342">
              <w:rPr>
                <w:sz w:val="14"/>
                <w:szCs w:val="14"/>
              </w:rPr>
              <w:br/>
              <w:t>Sklavos et al. (2022)</w:t>
            </w:r>
            <w:r w:rsidRPr="00D71342">
              <w:rPr>
                <w:sz w:val="14"/>
                <w:szCs w:val="14"/>
              </w:rPr>
              <w:br/>
              <w:t>Viona y Febby (2025)</w:t>
            </w:r>
          </w:p>
        </w:tc>
      </w:tr>
    </w:tbl>
    <w:p w14:paraId="293A816E" w14:textId="0A5A22DE" w:rsidR="00F0541C" w:rsidRPr="00D71342" w:rsidRDefault="00F0541C" w:rsidP="00813F12">
      <w:pPr>
        <w:ind w:left="426" w:right="670"/>
        <w:rPr>
          <w:sz w:val="14"/>
          <w:szCs w:val="18"/>
          <w:lang w:val="es-CO"/>
        </w:rPr>
      </w:pPr>
      <w:r w:rsidRPr="00D71342">
        <w:rPr>
          <w:sz w:val="14"/>
          <w:szCs w:val="18"/>
          <w:lang w:val="es-CO"/>
        </w:rPr>
        <w:t>Fuente: Elaboración propia.</w:t>
      </w:r>
    </w:p>
    <w:p w14:paraId="158566AE" w14:textId="6338E033" w:rsidR="008217E7" w:rsidRPr="00D71342" w:rsidRDefault="008217E7" w:rsidP="008217E7">
      <w:pPr>
        <w:pStyle w:val="Ttulo3"/>
        <w:spacing w:before="240" w:after="240"/>
        <w:ind w:left="426" w:right="670"/>
        <w:jc w:val="center"/>
        <w:sectPr w:rsidR="008217E7" w:rsidRPr="00D71342" w:rsidSect="003A6A51">
          <w:type w:val="continuous"/>
          <w:pgSz w:w="12240" w:h="15840"/>
          <w:pgMar w:top="1000" w:right="360" w:bottom="1200" w:left="720" w:header="0" w:footer="1000" w:gutter="0"/>
          <w:cols w:space="71"/>
        </w:sectPr>
      </w:pPr>
      <w:r w:rsidRPr="00D71342">
        <w:rPr>
          <w:spacing w:val="-6"/>
        </w:rPr>
        <w:t>Tabla 5. Cuadro resumen de las perspectivas teóricas para conceptualizar el emprendimiento verde</w:t>
      </w:r>
    </w:p>
    <w:tbl>
      <w:tblPr>
        <w:tblW w:w="9923" w:type="dxa"/>
        <w:tblInd w:w="496" w:type="dxa"/>
        <w:tblCellMar>
          <w:left w:w="70" w:type="dxa"/>
          <w:right w:w="70" w:type="dxa"/>
        </w:tblCellMar>
        <w:tblLook w:val="04A0" w:firstRow="1" w:lastRow="0" w:firstColumn="1" w:lastColumn="0" w:noHBand="0" w:noVBand="1"/>
      </w:tblPr>
      <w:tblGrid>
        <w:gridCol w:w="2552"/>
        <w:gridCol w:w="4536"/>
        <w:gridCol w:w="2835"/>
      </w:tblGrid>
      <w:tr w:rsidR="00D71342" w:rsidRPr="00D71342" w14:paraId="50E83131" w14:textId="77777777" w:rsidTr="00813F12">
        <w:trPr>
          <w:trHeight w:val="169"/>
        </w:trPr>
        <w:tc>
          <w:tcPr>
            <w:tcW w:w="2552" w:type="dxa"/>
            <w:tcBorders>
              <w:top w:val="single" w:sz="4" w:space="0" w:color="auto"/>
              <w:left w:val="nil"/>
              <w:bottom w:val="single" w:sz="4" w:space="0" w:color="auto"/>
              <w:right w:val="nil"/>
            </w:tcBorders>
            <w:vAlign w:val="center"/>
            <w:hideMark/>
          </w:tcPr>
          <w:p w14:paraId="390C23BC" w14:textId="77777777" w:rsidR="008217E7" w:rsidRPr="00D71342" w:rsidRDefault="008217E7" w:rsidP="003D1399">
            <w:pPr>
              <w:jc w:val="center"/>
              <w:rPr>
                <w:b/>
                <w:bCs/>
                <w:sz w:val="14"/>
                <w:szCs w:val="14"/>
                <w:lang w:eastAsia="es-CO"/>
              </w:rPr>
            </w:pPr>
            <w:r w:rsidRPr="00D71342">
              <w:rPr>
                <w:b/>
                <w:bCs/>
                <w:sz w:val="14"/>
                <w:szCs w:val="14"/>
                <w:lang w:eastAsia="es-CO"/>
              </w:rPr>
              <w:t>Perspectiva Teórica</w:t>
            </w:r>
          </w:p>
        </w:tc>
        <w:tc>
          <w:tcPr>
            <w:tcW w:w="4536" w:type="dxa"/>
            <w:tcBorders>
              <w:top w:val="single" w:sz="4" w:space="0" w:color="auto"/>
              <w:left w:val="nil"/>
              <w:bottom w:val="single" w:sz="4" w:space="0" w:color="auto"/>
              <w:right w:val="nil"/>
            </w:tcBorders>
            <w:vAlign w:val="center"/>
            <w:hideMark/>
          </w:tcPr>
          <w:p w14:paraId="21C3B199" w14:textId="77777777" w:rsidR="008217E7" w:rsidRPr="00D71342" w:rsidRDefault="008217E7" w:rsidP="003D1399">
            <w:pPr>
              <w:jc w:val="center"/>
              <w:rPr>
                <w:b/>
                <w:bCs/>
                <w:sz w:val="14"/>
                <w:szCs w:val="14"/>
                <w:lang w:eastAsia="es-CO"/>
              </w:rPr>
            </w:pPr>
            <w:r w:rsidRPr="00D71342">
              <w:rPr>
                <w:b/>
                <w:bCs/>
                <w:sz w:val="14"/>
                <w:szCs w:val="14"/>
                <w:lang w:eastAsia="es-CO"/>
              </w:rPr>
              <w:t>Aporte Clave al Emprendimiento Verde</w:t>
            </w:r>
          </w:p>
        </w:tc>
        <w:tc>
          <w:tcPr>
            <w:tcW w:w="2835" w:type="dxa"/>
            <w:tcBorders>
              <w:top w:val="single" w:sz="4" w:space="0" w:color="auto"/>
              <w:left w:val="nil"/>
              <w:bottom w:val="single" w:sz="4" w:space="0" w:color="auto"/>
              <w:right w:val="nil"/>
            </w:tcBorders>
            <w:vAlign w:val="center"/>
            <w:hideMark/>
          </w:tcPr>
          <w:p w14:paraId="6B810D4D" w14:textId="77777777" w:rsidR="008217E7" w:rsidRPr="00D71342" w:rsidRDefault="008217E7" w:rsidP="003D1399">
            <w:pPr>
              <w:jc w:val="center"/>
              <w:rPr>
                <w:b/>
                <w:bCs/>
                <w:sz w:val="14"/>
                <w:szCs w:val="14"/>
                <w:lang w:eastAsia="es-CO"/>
              </w:rPr>
            </w:pPr>
            <w:r w:rsidRPr="00D71342">
              <w:rPr>
                <w:b/>
                <w:bCs/>
                <w:sz w:val="14"/>
                <w:szCs w:val="14"/>
                <w:lang w:eastAsia="es-CO"/>
              </w:rPr>
              <w:t xml:space="preserve">Autor(es) </w:t>
            </w:r>
          </w:p>
        </w:tc>
      </w:tr>
      <w:tr w:rsidR="00D71342" w:rsidRPr="00D71342" w14:paraId="6E9F0323" w14:textId="77777777" w:rsidTr="00813F12">
        <w:trPr>
          <w:trHeight w:val="374"/>
        </w:trPr>
        <w:tc>
          <w:tcPr>
            <w:tcW w:w="2552" w:type="dxa"/>
            <w:tcBorders>
              <w:top w:val="nil"/>
              <w:left w:val="nil"/>
              <w:right w:val="nil"/>
            </w:tcBorders>
            <w:shd w:val="clear" w:color="000000" w:fill="BFBFBF"/>
            <w:vAlign w:val="center"/>
            <w:hideMark/>
          </w:tcPr>
          <w:p w14:paraId="76B40621" w14:textId="77777777" w:rsidR="008217E7" w:rsidRPr="00D71342" w:rsidRDefault="008217E7" w:rsidP="003D2473">
            <w:pPr>
              <w:jc w:val="center"/>
              <w:rPr>
                <w:b/>
                <w:bCs/>
                <w:sz w:val="14"/>
                <w:szCs w:val="14"/>
                <w:lang w:eastAsia="es-CO"/>
              </w:rPr>
            </w:pPr>
            <w:r w:rsidRPr="00D71342">
              <w:rPr>
                <w:b/>
                <w:bCs/>
                <w:sz w:val="14"/>
                <w:szCs w:val="14"/>
                <w:lang w:eastAsia="es-CO"/>
              </w:rPr>
              <w:t>Valor Sostenible</w:t>
            </w:r>
          </w:p>
        </w:tc>
        <w:tc>
          <w:tcPr>
            <w:tcW w:w="4536" w:type="dxa"/>
            <w:tcBorders>
              <w:top w:val="nil"/>
              <w:left w:val="nil"/>
              <w:right w:val="nil"/>
            </w:tcBorders>
            <w:shd w:val="clear" w:color="000000" w:fill="BFBFBF"/>
            <w:vAlign w:val="center"/>
            <w:hideMark/>
          </w:tcPr>
          <w:p w14:paraId="735C1E51" w14:textId="77777777" w:rsidR="008217E7" w:rsidRPr="00D71342" w:rsidRDefault="008217E7" w:rsidP="003D1399">
            <w:pPr>
              <w:rPr>
                <w:sz w:val="14"/>
                <w:szCs w:val="14"/>
                <w:lang w:eastAsia="es-CO"/>
              </w:rPr>
            </w:pPr>
            <w:r w:rsidRPr="00D71342">
              <w:rPr>
                <w:sz w:val="14"/>
                <w:szCs w:val="14"/>
                <w:lang w:eastAsia="es-CO"/>
              </w:rPr>
              <w:t>Integra las dimensiones económica, social y ambiental.</w:t>
            </w:r>
            <w:r w:rsidRPr="00D71342">
              <w:rPr>
                <w:sz w:val="14"/>
                <w:szCs w:val="14"/>
                <w:lang w:eastAsia="es-CO"/>
              </w:rPr>
              <w:br/>
              <w:t>Promueve modelos de negocio sostenibles.</w:t>
            </w:r>
            <w:r w:rsidRPr="00D71342">
              <w:rPr>
                <w:sz w:val="14"/>
                <w:szCs w:val="14"/>
                <w:lang w:eastAsia="es-CO"/>
              </w:rPr>
              <w:br/>
              <w:t>Favorece la competitividad y la creación de valor a largo plazo.</w:t>
            </w:r>
          </w:p>
        </w:tc>
        <w:tc>
          <w:tcPr>
            <w:tcW w:w="2835" w:type="dxa"/>
            <w:tcBorders>
              <w:top w:val="nil"/>
              <w:left w:val="nil"/>
              <w:right w:val="nil"/>
            </w:tcBorders>
            <w:shd w:val="clear" w:color="000000" w:fill="BFBFBF"/>
            <w:vAlign w:val="center"/>
            <w:hideMark/>
          </w:tcPr>
          <w:p w14:paraId="3003ECDB" w14:textId="77777777" w:rsidR="008217E7" w:rsidRPr="00D71342" w:rsidRDefault="008217E7" w:rsidP="003D1399">
            <w:pPr>
              <w:rPr>
                <w:sz w:val="14"/>
                <w:szCs w:val="14"/>
                <w:lang w:eastAsia="es-CO"/>
              </w:rPr>
            </w:pPr>
            <w:r w:rsidRPr="00D71342">
              <w:rPr>
                <w:sz w:val="14"/>
                <w:szCs w:val="14"/>
                <w:lang w:eastAsia="es-CO"/>
              </w:rPr>
              <w:t>Alwakid et al. (2021)</w:t>
            </w:r>
            <w:r w:rsidRPr="00D71342">
              <w:rPr>
                <w:sz w:val="14"/>
                <w:szCs w:val="14"/>
                <w:lang w:eastAsia="es-CO"/>
              </w:rPr>
              <w:br/>
              <w:t>Maisaroh et al. (2024)</w:t>
            </w:r>
          </w:p>
          <w:p w14:paraId="21A268E6" w14:textId="77777777" w:rsidR="008217E7" w:rsidRPr="00D71342" w:rsidRDefault="008217E7" w:rsidP="003D1399">
            <w:pPr>
              <w:rPr>
                <w:sz w:val="14"/>
                <w:szCs w:val="14"/>
                <w:lang w:eastAsia="es-CO"/>
              </w:rPr>
            </w:pPr>
            <w:r w:rsidRPr="00D71342">
              <w:rPr>
                <w:sz w:val="14"/>
                <w:szCs w:val="14"/>
                <w:lang w:eastAsia="es-CO"/>
              </w:rPr>
              <w:t>Mehraj et al. (2023)</w:t>
            </w:r>
            <w:r w:rsidRPr="00D71342">
              <w:rPr>
                <w:sz w:val="14"/>
                <w:szCs w:val="14"/>
                <w:lang w:eastAsia="es-CO"/>
              </w:rPr>
              <w:br/>
              <w:t>Zeng y Ren (2022)</w:t>
            </w:r>
          </w:p>
        </w:tc>
      </w:tr>
      <w:tr w:rsidR="00D71342" w:rsidRPr="00D71342" w14:paraId="083C3A75" w14:textId="77777777" w:rsidTr="00813F12">
        <w:trPr>
          <w:trHeight w:val="60"/>
        </w:trPr>
        <w:tc>
          <w:tcPr>
            <w:tcW w:w="2552" w:type="dxa"/>
            <w:tcBorders>
              <w:top w:val="nil"/>
              <w:left w:val="nil"/>
              <w:bottom w:val="nil"/>
              <w:right w:val="nil"/>
            </w:tcBorders>
            <w:vAlign w:val="center"/>
            <w:hideMark/>
          </w:tcPr>
          <w:p w14:paraId="65484FC5" w14:textId="77777777" w:rsidR="008217E7" w:rsidRPr="00D71342" w:rsidRDefault="008217E7" w:rsidP="003D2473">
            <w:pPr>
              <w:jc w:val="center"/>
              <w:rPr>
                <w:b/>
                <w:bCs/>
                <w:sz w:val="14"/>
                <w:szCs w:val="14"/>
                <w:lang w:eastAsia="es-CO"/>
              </w:rPr>
            </w:pPr>
            <w:r w:rsidRPr="00D71342">
              <w:rPr>
                <w:b/>
                <w:bCs/>
                <w:sz w:val="14"/>
                <w:szCs w:val="14"/>
                <w:lang w:eastAsia="es-CO"/>
              </w:rPr>
              <w:t>Resolución de Problemas Ambientales</w:t>
            </w:r>
          </w:p>
        </w:tc>
        <w:tc>
          <w:tcPr>
            <w:tcW w:w="4536" w:type="dxa"/>
            <w:tcBorders>
              <w:top w:val="nil"/>
              <w:left w:val="nil"/>
              <w:bottom w:val="nil"/>
              <w:right w:val="nil"/>
            </w:tcBorders>
            <w:vAlign w:val="center"/>
            <w:hideMark/>
          </w:tcPr>
          <w:p w14:paraId="222934BA" w14:textId="77777777" w:rsidR="008217E7" w:rsidRPr="00D71342" w:rsidRDefault="008217E7" w:rsidP="003D1399">
            <w:pPr>
              <w:rPr>
                <w:sz w:val="14"/>
                <w:szCs w:val="14"/>
                <w:lang w:eastAsia="es-CO"/>
              </w:rPr>
            </w:pPr>
            <w:r w:rsidRPr="00D71342">
              <w:rPr>
                <w:sz w:val="14"/>
                <w:szCs w:val="14"/>
                <w:lang w:eastAsia="es-CO"/>
              </w:rPr>
              <w:t>Impulsa la innovación ambiental.</w:t>
            </w:r>
            <w:r w:rsidRPr="00D71342">
              <w:rPr>
                <w:sz w:val="14"/>
                <w:szCs w:val="14"/>
                <w:lang w:eastAsia="es-CO"/>
              </w:rPr>
              <w:br/>
              <w:t>Promueve soluciones a problemas ecológicos y sociales.</w:t>
            </w:r>
            <w:r w:rsidRPr="00D71342">
              <w:rPr>
                <w:sz w:val="14"/>
                <w:szCs w:val="14"/>
                <w:lang w:eastAsia="es-CO"/>
              </w:rPr>
              <w:br/>
              <w:t>Fomenta tecnologías y procesos más limpios.</w:t>
            </w:r>
          </w:p>
        </w:tc>
        <w:tc>
          <w:tcPr>
            <w:tcW w:w="2835" w:type="dxa"/>
            <w:tcBorders>
              <w:top w:val="nil"/>
              <w:left w:val="nil"/>
              <w:bottom w:val="nil"/>
              <w:right w:val="nil"/>
            </w:tcBorders>
            <w:vAlign w:val="center"/>
            <w:hideMark/>
          </w:tcPr>
          <w:p w14:paraId="21D87639" w14:textId="09C1EC01" w:rsidR="008217E7" w:rsidRPr="00D71342" w:rsidRDefault="008217E7" w:rsidP="003D1399">
            <w:pPr>
              <w:rPr>
                <w:sz w:val="14"/>
                <w:szCs w:val="14"/>
                <w:lang w:eastAsia="es-CO"/>
              </w:rPr>
            </w:pPr>
            <w:r w:rsidRPr="00D71342">
              <w:rPr>
                <w:sz w:val="14"/>
                <w:szCs w:val="14"/>
                <w:lang w:eastAsia="es-CO"/>
              </w:rPr>
              <w:t>Al-Mamary (2025)</w:t>
            </w:r>
            <w:r w:rsidRPr="00D71342">
              <w:rPr>
                <w:sz w:val="14"/>
                <w:szCs w:val="14"/>
                <w:lang w:eastAsia="es-CO"/>
              </w:rPr>
              <w:br/>
              <w:t>Hermawan et al. (2025)</w:t>
            </w:r>
            <w:r w:rsidRPr="00D71342">
              <w:rPr>
                <w:sz w:val="14"/>
                <w:szCs w:val="14"/>
                <w:lang w:eastAsia="es-CO"/>
              </w:rPr>
              <w:br/>
              <w:t>Kansiime et al. (2025)</w:t>
            </w:r>
            <w:r w:rsidRPr="00D71342">
              <w:rPr>
                <w:sz w:val="14"/>
                <w:szCs w:val="14"/>
                <w:lang w:eastAsia="es-CO"/>
              </w:rPr>
              <w:br/>
              <w:t>Makhloufi et al. (2021)</w:t>
            </w:r>
            <w:r w:rsidRPr="00D71342">
              <w:rPr>
                <w:sz w:val="14"/>
                <w:szCs w:val="14"/>
                <w:lang w:eastAsia="es-CO"/>
              </w:rPr>
              <w:br/>
              <w:t>Nassani et al. (2023)</w:t>
            </w:r>
            <w:r w:rsidRPr="00D71342">
              <w:rPr>
                <w:sz w:val="14"/>
                <w:szCs w:val="14"/>
                <w:lang w:eastAsia="es-CO"/>
              </w:rPr>
              <w:br/>
              <w:t>Pimentel y Sousa (2022)</w:t>
            </w:r>
            <w:r w:rsidRPr="00D71342">
              <w:rPr>
                <w:sz w:val="14"/>
                <w:szCs w:val="14"/>
                <w:lang w:eastAsia="es-CO"/>
              </w:rPr>
              <w:br/>
              <w:t>Rajkamal et al. (202</w:t>
            </w:r>
            <w:r w:rsidR="00EA0DD4" w:rsidRPr="00D71342">
              <w:rPr>
                <w:sz w:val="14"/>
                <w:szCs w:val="14"/>
                <w:lang w:eastAsia="es-CO"/>
              </w:rPr>
              <w:t>2</w:t>
            </w:r>
            <w:r w:rsidRPr="00D71342">
              <w:rPr>
                <w:sz w:val="14"/>
                <w:szCs w:val="14"/>
                <w:lang w:eastAsia="es-CO"/>
              </w:rPr>
              <w:t>)</w:t>
            </w:r>
            <w:r w:rsidRPr="00D71342">
              <w:rPr>
                <w:sz w:val="14"/>
                <w:szCs w:val="14"/>
                <w:lang w:eastAsia="es-CO"/>
              </w:rPr>
              <w:br/>
              <w:t>Sarvari et al. (2023)</w:t>
            </w:r>
            <w:r w:rsidRPr="00D71342">
              <w:rPr>
                <w:sz w:val="14"/>
                <w:szCs w:val="14"/>
                <w:lang w:eastAsia="es-CO"/>
              </w:rPr>
              <w:br/>
              <w:t>Singh et al. (2025)</w:t>
            </w:r>
            <w:r w:rsidRPr="00D71342">
              <w:rPr>
                <w:sz w:val="14"/>
                <w:szCs w:val="14"/>
                <w:lang w:eastAsia="es-CO"/>
              </w:rPr>
              <w:br/>
              <w:t>Speckemeier y Tsivrikos (2022)</w:t>
            </w:r>
            <w:r w:rsidRPr="00D71342">
              <w:rPr>
                <w:sz w:val="14"/>
                <w:szCs w:val="14"/>
                <w:lang w:eastAsia="es-CO"/>
              </w:rPr>
              <w:br/>
              <w:t>Y. Le y Zhang (2024)</w:t>
            </w:r>
            <w:r w:rsidRPr="00D71342">
              <w:rPr>
                <w:sz w:val="14"/>
                <w:szCs w:val="14"/>
                <w:lang w:eastAsia="es-CO"/>
              </w:rPr>
              <w:br/>
              <w:t>Yasir et al. (2023)</w:t>
            </w:r>
            <w:r w:rsidRPr="00D71342">
              <w:rPr>
                <w:sz w:val="14"/>
                <w:szCs w:val="14"/>
                <w:lang w:eastAsia="es-CO"/>
              </w:rPr>
              <w:br/>
              <w:t>Zeng y Ren (2022)</w:t>
            </w:r>
          </w:p>
        </w:tc>
      </w:tr>
      <w:tr w:rsidR="00D71342" w:rsidRPr="00D71342" w14:paraId="03F21B26" w14:textId="77777777" w:rsidTr="00813F12">
        <w:trPr>
          <w:trHeight w:val="181"/>
        </w:trPr>
        <w:tc>
          <w:tcPr>
            <w:tcW w:w="2552" w:type="dxa"/>
            <w:tcBorders>
              <w:top w:val="nil"/>
              <w:left w:val="nil"/>
              <w:bottom w:val="nil"/>
              <w:right w:val="nil"/>
            </w:tcBorders>
            <w:shd w:val="clear" w:color="auto" w:fill="BFBFBF" w:themeFill="background1" w:themeFillShade="BF"/>
            <w:vAlign w:val="center"/>
          </w:tcPr>
          <w:p w14:paraId="099B5481" w14:textId="77777777" w:rsidR="008217E7" w:rsidRPr="00D71342" w:rsidRDefault="008217E7" w:rsidP="003D2473">
            <w:pPr>
              <w:jc w:val="center"/>
              <w:rPr>
                <w:b/>
                <w:bCs/>
                <w:sz w:val="14"/>
                <w:szCs w:val="14"/>
                <w:lang w:eastAsia="es-CO"/>
              </w:rPr>
            </w:pPr>
            <w:r w:rsidRPr="00D71342">
              <w:rPr>
                <w:b/>
                <w:bCs/>
                <w:sz w:val="14"/>
                <w:szCs w:val="14"/>
                <w:lang w:eastAsia="es-CO"/>
              </w:rPr>
              <w:t>Oportunidad de Mercado</w:t>
            </w:r>
          </w:p>
        </w:tc>
        <w:tc>
          <w:tcPr>
            <w:tcW w:w="4536" w:type="dxa"/>
            <w:tcBorders>
              <w:top w:val="nil"/>
              <w:left w:val="nil"/>
              <w:bottom w:val="nil"/>
              <w:right w:val="nil"/>
            </w:tcBorders>
            <w:shd w:val="clear" w:color="auto" w:fill="BFBFBF" w:themeFill="background1" w:themeFillShade="BF"/>
            <w:vAlign w:val="center"/>
          </w:tcPr>
          <w:p w14:paraId="27057C9B" w14:textId="77777777" w:rsidR="008217E7" w:rsidRPr="00D71342" w:rsidRDefault="008217E7" w:rsidP="003D1399">
            <w:pPr>
              <w:rPr>
                <w:sz w:val="14"/>
                <w:szCs w:val="14"/>
                <w:lang w:eastAsia="es-CO"/>
              </w:rPr>
            </w:pPr>
            <w:r w:rsidRPr="00D71342">
              <w:rPr>
                <w:sz w:val="14"/>
                <w:szCs w:val="14"/>
                <w:lang w:eastAsia="es-CO"/>
              </w:rPr>
              <w:t>Identifica nuevos nichos de mercado.</w:t>
            </w:r>
            <w:r w:rsidRPr="00D71342">
              <w:rPr>
                <w:sz w:val="14"/>
                <w:szCs w:val="14"/>
                <w:lang w:eastAsia="es-CO"/>
              </w:rPr>
              <w:br/>
              <w:t>Favorece la innovación en productos y servicios verdes.</w:t>
            </w:r>
            <w:r w:rsidRPr="00D71342">
              <w:rPr>
                <w:sz w:val="14"/>
                <w:szCs w:val="14"/>
                <w:lang w:eastAsia="es-CO"/>
              </w:rPr>
              <w:br/>
              <w:t>Incrementa la competitividad mediante la diferenciación.</w:t>
            </w:r>
          </w:p>
        </w:tc>
        <w:tc>
          <w:tcPr>
            <w:tcW w:w="2835" w:type="dxa"/>
            <w:tcBorders>
              <w:top w:val="nil"/>
              <w:left w:val="nil"/>
              <w:bottom w:val="nil"/>
              <w:right w:val="nil"/>
            </w:tcBorders>
            <w:shd w:val="clear" w:color="auto" w:fill="BFBFBF" w:themeFill="background1" w:themeFillShade="BF"/>
            <w:vAlign w:val="center"/>
          </w:tcPr>
          <w:p w14:paraId="188A1270" w14:textId="77777777" w:rsidR="008217E7" w:rsidRPr="00D71342" w:rsidRDefault="008217E7" w:rsidP="003D1399">
            <w:pPr>
              <w:rPr>
                <w:sz w:val="14"/>
                <w:szCs w:val="14"/>
                <w:lang w:eastAsia="es-CO"/>
              </w:rPr>
            </w:pPr>
            <w:r w:rsidRPr="00D71342">
              <w:rPr>
                <w:sz w:val="14"/>
                <w:szCs w:val="14"/>
                <w:lang w:eastAsia="es-CO"/>
              </w:rPr>
              <w:t>Al-Mamary (2025)</w:t>
            </w:r>
            <w:r w:rsidRPr="00D71342">
              <w:rPr>
                <w:sz w:val="14"/>
                <w:szCs w:val="14"/>
                <w:lang w:eastAsia="es-CO"/>
              </w:rPr>
              <w:br/>
              <w:t>Baquero (2024a)</w:t>
            </w:r>
            <w:r w:rsidRPr="00D71342">
              <w:rPr>
                <w:sz w:val="14"/>
                <w:szCs w:val="14"/>
                <w:lang w:eastAsia="es-CO"/>
              </w:rPr>
              <w:br/>
              <w:t>Chen et al. (2023)</w:t>
            </w:r>
            <w:r w:rsidRPr="00D71342">
              <w:rPr>
                <w:sz w:val="14"/>
                <w:szCs w:val="14"/>
                <w:lang w:eastAsia="es-CO"/>
              </w:rPr>
              <w:br/>
              <w:t>Diale et al. (2021)</w:t>
            </w:r>
            <w:r w:rsidRPr="00D71342">
              <w:rPr>
                <w:sz w:val="14"/>
                <w:szCs w:val="14"/>
                <w:lang w:eastAsia="es-CO"/>
              </w:rPr>
              <w:br/>
              <w:t>Pertuz et al. (2021)</w:t>
            </w:r>
            <w:r w:rsidRPr="00D71342">
              <w:rPr>
                <w:sz w:val="14"/>
                <w:szCs w:val="14"/>
                <w:lang w:eastAsia="es-CO"/>
              </w:rPr>
              <w:br/>
              <w:t>Reza-Gharehbagh et al. (2022)</w:t>
            </w:r>
            <w:r w:rsidRPr="00D71342">
              <w:rPr>
                <w:sz w:val="14"/>
                <w:szCs w:val="14"/>
                <w:lang w:eastAsia="es-CO"/>
              </w:rPr>
              <w:br/>
              <w:t>Sklavos et al. (2022)</w:t>
            </w:r>
            <w:r w:rsidRPr="00D71342">
              <w:rPr>
                <w:sz w:val="14"/>
                <w:szCs w:val="14"/>
                <w:lang w:eastAsia="es-CO"/>
              </w:rPr>
              <w:br/>
              <w:t>Zeng y Ren (2022)</w:t>
            </w:r>
            <w:r w:rsidRPr="00D71342">
              <w:rPr>
                <w:sz w:val="14"/>
                <w:szCs w:val="14"/>
                <w:lang w:eastAsia="es-CO"/>
              </w:rPr>
              <w:br/>
              <w:t>Zhang y Li (2021)</w:t>
            </w:r>
          </w:p>
        </w:tc>
      </w:tr>
      <w:tr w:rsidR="00D71342" w:rsidRPr="00D71342" w14:paraId="4394AC2D" w14:textId="77777777" w:rsidTr="00813F12">
        <w:trPr>
          <w:trHeight w:val="858"/>
        </w:trPr>
        <w:tc>
          <w:tcPr>
            <w:tcW w:w="2552" w:type="dxa"/>
            <w:tcBorders>
              <w:top w:val="nil"/>
              <w:left w:val="nil"/>
              <w:bottom w:val="single" w:sz="4" w:space="0" w:color="auto"/>
              <w:right w:val="nil"/>
            </w:tcBorders>
            <w:vAlign w:val="center"/>
          </w:tcPr>
          <w:p w14:paraId="7A0826B7" w14:textId="77777777" w:rsidR="008217E7" w:rsidRPr="00D71342" w:rsidRDefault="008217E7" w:rsidP="003D2473">
            <w:pPr>
              <w:jc w:val="center"/>
              <w:rPr>
                <w:b/>
                <w:bCs/>
                <w:sz w:val="14"/>
                <w:szCs w:val="14"/>
                <w:lang w:eastAsia="es-CO"/>
              </w:rPr>
            </w:pPr>
            <w:r w:rsidRPr="00D71342">
              <w:rPr>
                <w:b/>
                <w:bCs/>
                <w:sz w:val="14"/>
                <w:szCs w:val="14"/>
                <w:lang w:eastAsia="es-CO"/>
              </w:rPr>
              <w:t>Orientación Estratégica y Conductual</w:t>
            </w:r>
          </w:p>
        </w:tc>
        <w:tc>
          <w:tcPr>
            <w:tcW w:w="4536" w:type="dxa"/>
            <w:tcBorders>
              <w:top w:val="nil"/>
              <w:left w:val="nil"/>
              <w:bottom w:val="single" w:sz="4" w:space="0" w:color="auto"/>
              <w:right w:val="nil"/>
            </w:tcBorders>
            <w:vAlign w:val="center"/>
          </w:tcPr>
          <w:p w14:paraId="25C2373D" w14:textId="77777777" w:rsidR="008217E7" w:rsidRPr="00D71342" w:rsidRDefault="008217E7" w:rsidP="003D1399">
            <w:pPr>
              <w:rPr>
                <w:sz w:val="14"/>
                <w:szCs w:val="14"/>
                <w:lang w:eastAsia="es-CO"/>
              </w:rPr>
            </w:pPr>
            <w:r w:rsidRPr="00D71342">
              <w:rPr>
                <w:sz w:val="14"/>
                <w:szCs w:val="14"/>
                <w:lang w:eastAsia="es-CO"/>
              </w:rPr>
              <w:t>Identifica nuevos nichos de mercado.</w:t>
            </w:r>
            <w:r w:rsidRPr="00D71342">
              <w:rPr>
                <w:sz w:val="14"/>
                <w:szCs w:val="14"/>
                <w:lang w:eastAsia="es-CO"/>
              </w:rPr>
              <w:br/>
              <w:t>Favorece la innovación en productos y servicios verdes.</w:t>
            </w:r>
            <w:r w:rsidRPr="00D71342">
              <w:rPr>
                <w:sz w:val="14"/>
                <w:szCs w:val="14"/>
                <w:lang w:eastAsia="es-CO"/>
              </w:rPr>
              <w:br/>
              <w:t>Incrementa la competitividad mediante la diferenciación.</w:t>
            </w:r>
            <w:r w:rsidRPr="00D71342">
              <w:rPr>
                <w:sz w:val="14"/>
                <w:szCs w:val="14"/>
                <w:lang w:eastAsia="es-CO"/>
              </w:rPr>
              <w:br/>
              <w:t>Explica la intención y el comportamiento emprendedor.</w:t>
            </w:r>
            <w:r w:rsidRPr="00D71342">
              <w:rPr>
                <w:sz w:val="14"/>
                <w:szCs w:val="14"/>
                <w:lang w:eastAsia="es-CO"/>
              </w:rPr>
              <w:br/>
              <w:t>Destaca la influencia de la educación, los valores y la conciencia ambiental.</w:t>
            </w:r>
            <w:r w:rsidRPr="00D71342">
              <w:rPr>
                <w:sz w:val="14"/>
                <w:szCs w:val="14"/>
                <w:lang w:eastAsia="es-CO"/>
              </w:rPr>
              <w:br/>
              <w:t>Orienta programas de formación para fortalecer el emprendimiento verde.</w:t>
            </w:r>
          </w:p>
        </w:tc>
        <w:tc>
          <w:tcPr>
            <w:tcW w:w="2835" w:type="dxa"/>
            <w:tcBorders>
              <w:top w:val="nil"/>
              <w:left w:val="nil"/>
              <w:bottom w:val="single" w:sz="4" w:space="0" w:color="auto"/>
              <w:right w:val="nil"/>
            </w:tcBorders>
            <w:vAlign w:val="center"/>
          </w:tcPr>
          <w:p w14:paraId="26CDE346" w14:textId="77777777" w:rsidR="008217E7" w:rsidRPr="00D71342" w:rsidRDefault="008217E7" w:rsidP="003D1399">
            <w:pPr>
              <w:rPr>
                <w:sz w:val="14"/>
                <w:szCs w:val="14"/>
                <w:lang w:eastAsia="es-CO"/>
              </w:rPr>
            </w:pPr>
            <w:r w:rsidRPr="00D71342">
              <w:rPr>
                <w:sz w:val="14"/>
                <w:szCs w:val="14"/>
                <w:lang w:eastAsia="es-CO"/>
              </w:rPr>
              <w:t>Baquero (2024a)</w:t>
            </w:r>
            <w:r w:rsidRPr="00D71342">
              <w:rPr>
                <w:sz w:val="14"/>
                <w:szCs w:val="14"/>
                <w:lang w:eastAsia="es-CO"/>
              </w:rPr>
              <w:br/>
              <w:t>Makhloufi et al. (2021)</w:t>
            </w:r>
            <w:r w:rsidRPr="00D71342">
              <w:rPr>
                <w:sz w:val="14"/>
                <w:szCs w:val="14"/>
                <w:lang w:eastAsia="es-CO"/>
              </w:rPr>
              <w:br/>
              <w:t>Y. Le y Zhang (2024)</w:t>
            </w:r>
            <w:r w:rsidRPr="00D71342">
              <w:rPr>
                <w:sz w:val="14"/>
                <w:szCs w:val="14"/>
                <w:lang w:eastAsia="es-CO"/>
              </w:rPr>
              <w:br/>
              <w:t>Zhang et al. (2024)</w:t>
            </w:r>
            <w:r w:rsidRPr="00D71342">
              <w:rPr>
                <w:sz w:val="14"/>
                <w:szCs w:val="14"/>
                <w:lang w:eastAsia="es-CO"/>
              </w:rPr>
              <w:br/>
              <w:t>Zhang y Li (2021)</w:t>
            </w:r>
          </w:p>
        </w:tc>
      </w:tr>
    </w:tbl>
    <w:p w14:paraId="2B913ADF" w14:textId="2F88E768" w:rsidR="008217E7" w:rsidRPr="00D71342" w:rsidRDefault="008217E7" w:rsidP="00813F12">
      <w:pPr>
        <w:ind w:left="426" w:right="670"/>
        <w:rPr>
          <w:sz w:val="14"/>
          <w:szCs w:val="18"/>
          <w:lang w:val="es-CO"/>
        </w:rPr>
      </w:pPr>
      <w:r w:rsidRPr="00D71342">
        <w:rPr>
          <w:sz w:val="14"/>
          <w:szCs w:val="18"/>
          <w:lang w:val="es-CO"/>
        </w:rPr>
        <w:t>Fuente: Elaboración propia.</w:t>
      </w:r>
    </w:p>
    <w:p w14:paraId="786952CD" w14:textId="2DC053F6" w:rsidR="003D2473" w:rsidRPr="00D71342" w:rsidRDefault="003D2473" w:rsidP="008217E7">
      <w:pPr>
        <w:pStyle w:val="Textoindependiente"/>
        <w:spacing w:before="158" w:line="259" w:lineRule="auto"/>
        <w:ind w:right="711"/>
        <w:jc w:val="both"/>
      </w:pPr>
      <w:r w:rsidRPr="00D71342">
        <w:br w:type="page"/>
      </w:r>
    </w:p>
    <w:p w14:paraId="6BD619C5" w14:textId="26995969" w:rsidR="00813F12" w:rsidRPr="00D71342" w:rsidRDefault="00813F12" w:rsidP="00813F12">
      <w:pPr>
        <w:pStyle w:val="Ttulo3"/>
        <w:spacing w:before="240" w:after="240"/>
        <w:ind w:left="426" w:right="670"/>
        <w:jc w:val="center"/>
        <w:sectPr w:rsidR="00813F12" w:rsidRPr="00D71342" w:rsidSect="003A6A51">
          <w:type w:val="continuous"/>
          <w:pgSz w:w="12240" w:h="15840"/>
          <w:pgMar w:top="1000" w:right="360" w:bottom="1200" w:left="720" w:header="0" w:footer="1000" w:gutter="0"/>
          <w:cols w:space="71"/>
        </w:sectPr>
      </w:pPr>
      <w:r w:rsidRPr="00D71342">
        <w:rPr>
          <w:spacing w:val="-6"/>
        </w:rPr>
        <w:lastRenderedPageBreak/>
        <w:t>Tabla 6. Cuadro resumen de la delimitación conceptual</w:t>
      </w:r>
    </w:p>
    <w:tbl>
      <w:tblPr>
        <w:tblW w:w="9923" w:type="dxa"/>
        <w:tblInd w:w="496" w:type="dxa"/>
        <w:tblCellMar>
          <w:left w:w="70" w:type="dxa"/>
          <w:right w:w="70" w:type="dxa"/>
        </w:tblCellMar>
        <w:tblLook w:val="04A0" w:firstRow="1" w:lastRow="0" w:firstColumn="1" w:lastColumn="0" w:noHBand="0" w:noVBand="1"/>
      </w:tblPr>
      <w:tblGrid>
        <w:gridCol w:w="1418"/>
        <w:gridCol w:w="2126"/>
        <w:gridCol w:w="3827"/>
        <w:gridCol w:w="2552"/>
      </w:tblGrid>
      <w:tr w:rsidR="00D71342" w:rsidRPr="00D71342" w14:paraId="12C9EDA8" w14:textId="77777777" w:rsidTr="003D2473">
        <w:trPr>
          <w:trHeight w:val="54"/>
        </w:trPr>
        <w:tc>
          <w:tcPr>
            <w:tcW w:w="1418" w:type="dxa"/>
            <w:tcBorders>
              <w:top w:val="single" w:sz="4" w:space="0" w:color="auto"/>
              <w:left w:val="nil"/>
              <w:bottom w:val="nil"/>
              <w:right w:val="nil"/>
            </w:tcBorders>
            <w:noWrap/>
            <w:vAlign w:val="center"/>
            <w:hideMark/>
          </w:tcPr>
          <w:p w14:paraId="07B34C9D" w14:textId="77777777" w:rsidR="00813F12" w:rsidRPr="00D71342" w:rsidRDefault="00813F12" w:rsidP="003D1399">
            <w:pPr>
              <w:jc w:val="center"/>
              <w:rPr>
                <w:b/>
                <w:bCs/>
                <w:sz w:val="14"/>
                <w:szCs w:val="14"/>
                <w:lang w:eastAsia="es-CO"/>
              </w:rPr>
            </w:pPr>
            <w:r w:rsidRPr="00D71342">
              <w:rPr>
                <w:b/>
                <w:bCs/>
                <w:sz w:val="14"/>
                <w:szCs w:val="14"/>
                <w:lang w:eastAsia="es-CO"/>
              </w:rPr>
              <w:t>Concepto</w:t>
            </w:r>
          </w:p>
        </w:tc>
        <w:tc>
          <w:tcPr>
            <w:tcW w:w="2126" w:type="dxa"/>
            <w:tcBorders>
              <w:top w:val="single" w:sz="4" w:space="0" w:color="auto"/>
              <w:left w:val="nil"/>
              <w:bottom w:val="nil"/>
              <w:right w:val="nil"/>
            </w:tcBorders>
            <w:vAlign w:val="center"/>
            <w:hideMark/>
          </w:tcPr>
          <w:p w14:paraId="048EDFE2" w14:textId="77777777" w:rsidR="00813F12" w:rsidRPr="00D71342" w:rsidRDefault="00813F12" w:rsidP="003D1399">
            <w:pPr>
              <w:jc w:val="center"/>
              <w:rPr>
                <w:b/>
                <w:bCs/>
                <w:sz w:val="14"/>
                <w:szCs w:val="14"/>
                <w:lang w:eastAsia="es-CO"/>
              </w:rPr>
            </w:pPr>
            <w:r w:rsidRPr="00D71342">
              <w:rPr>
                <w:b/>
                <w:bCs/>
                <w:sz w:val="14"/>
                <w:szCs w:val="14"/>
                <w:lang w:eastAsia="es-CO"/>
              </w:rPr>
              <w:t>Enfoque / Objetivo Principal</w:t>
            </w:r>
          </w:p>
        </w:tc>
        <w:tc>
          <w:tcPr>
            <w:tcW w:w="3827" w:type="dxa"/>
            <w:tcBorders>
              <w:top w:val="single" w:sz="4" w:space="0" w:color="auto"/>
              <w:left w:val="nil"/>
              <w:bottom w:val="nil"/>
              <w:right w:val="nil"/>
            </w:tcBorders>
            <w:vAlign w:val="center"/>
            <w:hideMark/>
          </w:tcPr>
          <w:p w14:paraId="782F8118" w14:textId="77777777" w:rsidR="00813F12" w:rsidRPr="00D71342" w:rsidRDefault="00813F12" w:rsidP="003D1399">
            <w:pPr>
              <w:jc w:val="center"/>
              <w:rPr>
                <w:b/>
                <w:bCs/>
                <w:sz w:val="14"/>
                <w:szCs w:val="14"/>
                <w:lang w:eastAsia="es-CO"/>
              </w:rPr>
            </w:pPr>
            <w:r w:rsidRPr="00D71342">
              <w:rPr>
                <w:b/>
                <w:bCs/>
                <w:sz w:val="14"/>
                <w:szCs w:val="14"/>
                <w:lang w:eastAsia="es-CO"/>
              </w:rPr>
              <w:t>Diferencia fundamental frente al Emprendimiento Verde</w:t>
            </w:r>
          </w:p>
        </w:tc>
        <w:tc>
          <w:tcPr>
            <w:tcW w:w="2552" w:type="dxa"/>
            <w:tcBorders>
              <w:top w:val="single" w:sz="4" w:space="0" w:color="auto"/>
              <w:left w:val="nil"/>
              <w:bottom w:val="nil"/>
              <w:right w:val="nil"/>
            </w:tcBorders>
            <w:vAlign w:val="center"/>
          </w:tcPr>
          <w:p w14:paraId="51786510" w14:textId="77777777" w:rsidR="00813F12" w:rsidRPr="00D71342" w:rsidRDefault="00813F12" w:rsidP="003D1399">
            <w:pPr>
              <w:jc w:val="center"/>
              <w:rPr>
                <w:b/>
                <w:bCs/>
                <w:sz w:val="14"/>
                <w:szCs w:val="14"/>
                <w:lang w:eastAsia="es-CO"/>
              </w:rPr>
            </w:pPr>
            <w:r w:rsidRPr="00D71342">
              <w:rPr>
                <w:b/>
                <w:bCs/>
                <w:sz w:val="14"/>
                <w:szCs w:val="14"/>
                <w:lang w:eastAsia="es-CO"/>
              </w:rPr>
              <w:t>Autor(es)</w:t>
            </w:r>
          </w:p>
        </w:tc>
      </w:tr>
      <w:tr w:rsidR="00D71342" w:rsidRPr="00D71342" w14:paraId="0DD16F2F" w14:textId="77777777" w:rsidTr="003D2473">
        <w:trPr>
          <w:trHeight w:val="54"/>
        </w:trPr>
        <w:tc>
          <w:tcPr>
            <w:tcW w:w="1418" w:type="dxa"/>
            <w:tcBorders>
              <w:top w:val="single" w:sz="4" w:space="0" w:color="auto"/>
              <w:left w:val="nil"/>
              <w:bottom w:val="nil"/>
              <w:right w:val="nil"/>
            </w:tcBorders>
            <w:shd w:val="clear" w:color="auto" w:fill="BFBFBF" w:themeFill="background1" w:themeFillShade="BF"/>
            <w:vAlign w:val="center"/>
            <w:hideMark/>
          </w:tcPr>
          <w:p w14:paraId="67AF0D83" w14:textId="77777777" w:rsidR="00813F12" w:rsidRPr="00D71342" w:rsidRDefault="00813F12" w:rsidP="003D1399">
            <w:pPr>
              <w:jc w:val="center"/>
              <w:rPr>
                <w:b/>
                <w:bCs/>
                <w:sz w:val="14"/>
                <w:szCs w:val="14"/>
                <w:lang w:eastAsia="es-CO"/>
              </w:rPr>
            </w:pPr>
            <w:r w:rsidRPr="00D71342">
              <w:rPr>
                <w:b/>
                <w:bCs/>
                <w:sz w:val="14"/>
                <w:szCs w:val="14"/>
                <w:lang w:eastAsia="es-CO"/>
              </w:rPr>
              <w:t>Emprendimiento Sostenible</w:t>
            </w:r>
          </w:p>
        </w:tc>
        <w:tc>
          <w:tcPr>
            <w:tcW w:w="2126" w:type="dxa"/>
            <w:tcBorders>
              <w:top w:val="single" w:sz="4" w:space="0" w:color="auto"/>
              <w:left w:val="nil"/>
              <w:bottom w:val="nil"/>
              <w:right w:val="nil"/>
            </w:tcBorders>
            <w:shd w:val="clear" w:color="auto" w:fill="BFBFBF" w:themeFill="background1" w:themeFillShade="BF"/>
            <w:vAlign w:val="center"/>
            <w:hideMark/>
          </w:tcPr>
          <w:p w14:paraId="41A63F5E" w14:textId="77777777" w:rsidR="00813F12" w:rsidRPr="00D71342" w:rsidRDefault="00813F12" w:rsidP="003D1399">
            <w:pPr>
              <w:rPr>
                <w:sz w:val="14"/>
                <w:szCs w:val="14"/>
                <w:lang w:eastAsia="es-CO"/>
              </w:rPr>
            </w:pPr>
            <w:r w:rsidRPr="00D71342">
              <w:rPr>
                <w:sz w:val="14"/>
                <w:szCs w:val="14"/>
                <w:lang w:eastAsia="es-CO"/>
              </w:rPr>
              <w:t xml:space="preserve">Busca el equilibrio a través del modelo de la "triple cuenta de resultados" o </w:t>
            </w:r>
            <w:r w:rsidRPr="00D71342">
              <w:rPr>
                <w:i/>
                <w:iCs/>
                <w:sz w:val="14"/>
                <w:szCs w:val="14"/>
                <w:lang w:eastAsia="es-CO"/>
              </w:rPr>
              <w:t>triple bottom line</w:t>
            </w:r>
            <w:r w:rsidRPr="00D71342">
              <w:rPr>
                <w:sz w:val="14"/>
                <w:szCs w:val="14"/>
                <w:lang w:eastAsia="es-CO"/>
              </w:rPr>
              <w:t xml:space="preserve"> (económico, ambiental y social).</w:t>
            </w:r>
          </w:p>
        </w:tc>
        <w:tc>
          <w:tcPr>
            <w:tcW w:w="3827" w:type="dxa"/>
            <w:tcBorders>
              <w:top w:val="single" w:sz="4" w:space="0" w:color="auto"/>
              <w:left w:val="nil"/>
              <w:bottom w:val="nil"/>
              <w:right w:val="nil"/>
            </w:tcBorders>
            <w:shd w:val="clear" w:color="auto" w:fill="BFBFBF" w:themeFill="background1" w:themeFillShade="BF"/>
            <w:vAlign w:val="center"/>
            <w:hideMark/>
          </w:tcPr>
          <w:p w14:paraId="21D9DEC1" w14:textId="77777777" w:rsidR="00813F12" w:rsidRPr="00D71342" w:rsidRDefault="00813F12" w:rsidP="003D1399">
            <w:pPr>
              <w:rPr>
                <w:sz w:val="14"/>
                <w:szCs w:val="14"/>
                <w:lang w:eastAsia="es-CO"/>
              </w:rPr>
            </w:pPr>
            <w:r w:rsidRPr="00D71342">
              <w:rPr>
                <w:sz w:val="14"/>
                <w:szCs w:val="14"/>
                <w:lang w:eastAsia="es-CO"/>
              </w:rPr>
              <w:t>Es un concepto más amplio que exige abarcar la dimensión social (equidad, bienestar comunitario), mientras que el emprendimiento verde prioriza la intersección entre el mercado y la rentabilidad ambiental.</w:t>
            </w:r>
          </w:p>
        </w:tc>
        <w:tc>
          <w:tcPr>
            <w:tcW w:w="2552" w:type="dxa"/>
            <w:tcBorders>
              <w:top w:val="single" w:sz="4" w:space="0" w:color="auto"/>
              <w:left w:val="nil"/>
              <w:bottom w:val="nil"/>
              <w:right w:val="nil"/>
            </w:tcBorders>
            <w:shd w:val="clear" w:color="auto" w:fill="BFBFBF" w:themeFill="background1" w:themeFillShade="BF"/>
            <w:vAlign w:val="center"/>
          </w:tcPr>
          <w:p w14:paraId="3E435147" w14:textId="77777777" w:rsidR="00813F12" w:rsidRPr="00D71342" w:rsidRDefault="00813F12" w:rsidP="003D1399">
            <w:pPr>
              <w:rPr>
                <w:sz w:val="14"/>
                <w:szCs w:val="14"/>
                <w:lang w:eastAsia="es-CO"/>
              </w:rPr>
            </w:pPr>
            <w:r w:rsidRPr="00D71342">
              <w:rPr>
                <w:sz w:val="14"/>
                <w:szCs w:val="14"/>
                <w:lang w:eastAsia="es-CO"/>
              </w:rPr>
              <w:t>Albhirat et al. (2024)</w:t>
            </w:r>
          </w:p>
          <w:p w14:paraId="3791EF5A" w14:textId="77777777" w:rsidR="00813F12" w:rsidRPr="00D71342" w:rsidRDefault="00813F12" w:rsidP="003D1399">
            <w:pPr>
              <w:rPr>
                <w:sz w:val="14"/>
                <w:szCs w:val="14"/>
                <w:lang w:eastAsia="es-CO"/>
              </w:rPr>
            </w:pPr>
            <w:r w:rsidRPr="00D71342">
              <w:rPr>
                <w:sz w:val="14"/>
                <w:szCs w:val="14"/>
                <w:lang w:eastAsia="es-CO"/>
              </w:rPr>
              <w:t>Ferreira y Ferreira (2023)</w:t>
            </w:r>
          </w:p>
          <w:p w14:paraId="7498325F" w14:textId="77777777" w:rsidR="00813F12" w:rsidRPr="00D71342" w:rsidRDefault="00813F12" w:rsidP="003D1399">
            <w:pPr>
              <w:rPr>
                <w:sz w:val="14"/>
                <w:szCs w:val="14"/>
                <w:lang w:eastAsia="es-CO"/>
              </w:rPr>
            </w:pPr>
            <w:r w:rsidRPr="00D71342">
              <w:rPr>
                <w:sz w:val="14"/>
                <w:szCs w:val="14"/>
                <w:lang w:eastAsia="es-CO"/>
              </w:rPr>
              <w:t>Lemaire et al. (2022)</w:t>
            </w:r>
          </w:p>
        </w:tc>
      </w:tr>
      <w:tr w:rsidR="00D71342" w:rsidRPr="00D71342" w14:paraId="2C2BF8DA" w14:textId="77777777" w:rsidTr="003D2473">
        <w:trPr>
          <w:trHeight w:val="339"/>
        </w:trPr>
        <w:tc>
          <w:tcPr>
            <w:tcW w:w="1418" w:type="dxa"/>
            <w:tcBorders>
              <w:top w:val="nil"/>
              <w:left w:val="nil"/>
              <w:bottom w:val="nil"/>
              <w:right w:val="nil"/>
            </w:tcBorders>
            <w:vAlign w:val="center"/>
            <w:hideMark/>
          </w:tcPr>
          <w:p w14:paraId="36A31D8A" w14:textId="77777777" w:rsidR="00813F12" w:rsidRPr="00D71342" w:rsidRDefault="00813F12" w:rsidP="003D1399">
            <w:pPr>
              <w:jc w:val="center"/>
              <w:rPr>
                <w:b/>
                <w:bCs/>
                <w:sz w:val="14"/>
                <w:szCs w:val="14"/>
                <w:lang w:eastAsia="es-CO"/>
              </w:rPr>
            </w:pPr>
            <w:r w:rsidRPr="00D71342">
              <w:rPr>
                <w:b/>
                <w:bCs/>
                <w:sz w:val="14"/>
                <w:szCs w:val="14"/>
                <w:lang w:eastAsia="es-CO"/>
              </w:rPr>
              <w:t>Eco-emprendimiento</w:t>
            </w:r>
          </w:p>
        </w:tc>
        <w:tc>
          <w:tcPr>
            <w:tcW w:w="2126" w:type="dxa"/>
            <w:tcBorders>
              <w:top w:val="nil"/>
              <w:left w:val="nil"/>
              <w:bottom w:val="nil"/>
              <w:right w:val="nil"/>
            </w:tcBorders>
            <w:vAlign w:val="center"/>
            <w:hideMark/>
          </w:tcPr>
          <w:p w14:paraId="2AB10B34" w14:textId="77777777" w:rsidR="00813F12" w:rsidRPr="00D71342" w:rsidRDefault="00813F12" w:rsidP="003D1399">
            <w:pPr>
              <w:rPr>
                <w:sz w:val="14"/>
                <w:szCs w:val="14"/>
                <w:lang w:eastAsia="es-CO"/>
              </w:rPr>
            </w:pPr>
            <w:r w:rsidRPr="00D71342">
              <w:rPr>
                <w:sz w:val="14"/>
                <w:szCs w:val="14"/>
                <w:lang w:eastAsia="es-CO"/>
              </w:rPr>
              <w:t>Busca resolver problemas ambientales garantizando la eficiencia y eficacia operativa en los procesos de la empresa.</w:t>
            </w:r>
          </w:p>
        </w:tc>
        <w:tc>
          <w:tcPr>
            <w:tcW w:w="3827" w:type="dxa"/>
            <w:tcBorders>
              <w:top w:val="nil"/>
              <w:left w:val="nil"/>
              <w:bottom w:val="nil"/>
              <w:right w:val="nil"/>
            </w:tcBorders>
            <w:vAlign w:val="center"/>
            <w:hideMark/>
          </w:tcPr>
          <w:p w14:paraId="65079C16" w14:textId="77777777" w:rsidR="00813F12" w:rsidRPr="00D71342" w:rsidRDefault="00813F12" w:rsidP="003D1399">
            <w:pPr>
              <w:rPr>
                <w:sz w:val="14"/>
                <w:szCs w:val="14"/>
                <w:lang w:eastAsia="es-CO"/>
              </w:rPr>
            </w:pPr>
            <w:r w:rsidRPr="00D71342">
              <w:rPr>
                <w:sz w:val="14"/>
                <w:szCs w:val="14"/>
                <w:lang w:eastAsia="es-CO"/>
              </w:rPr>
              <w:t>Tiene un enfoque hacia el interior de la organización (procesos internos), mientras que el emprendimiento verde se orienta fuertemente hacia la explotación de oportunidades externas en el mercado.</w:t>
            </w:r>
          </w:p>
        </w:tc>
        <w:tc>
          <w:tcPr>
            <w:tcW w:w="2552" w:type="dxa"/>
            <w:tcBorders>
              <w:top w:val="nil"/>
              <w:left w:val="nil"/>
              <w:bottom w:val="nil"/>
              <w:right w:val="nil"/>
            </w:tcBorders>
            <w:vAlign w:val="center"/>
          </w:tcPr>
          <w:p w14:paraId="6FFBDBCB" w14:textId="77777777" w:rsidR="00813F12" w:rsidRPr="00D71342" w:rsidRDefault="00813F12" w:rsidP="003D1399">
            <w:pPr>
              <w:rPr>
                <w:sz w:val="14"/>
                <w:szCs w:val="14"/>
                <w:lang w:eastAsia="es-CO"/>
              </w:rPr>
            </w:pPr>
            <w:r w:rsidRPr="00D71342">
              <w:rPr>
                <w:sz w:val="14"/>
                <w:szCs w:val="14"/>
                <w:lang w:eastAsia="es-CO"/>
              </w:rPr>
              <w:t>Albhirat et al. (2024)</w:t>
            </w:r>
          </w:p>
        </w:tc>
      </w:tr>
      <w:tr w:rsidR="00D71342" w:rsidRPr="00D71342" w14:paraId="0E643890" w14:textId="77777777" w:rsidTr="003D2473">
        <w:trPr>
          <w:trHeight w:val="64"/>
        </w:trPr>
        <w:tc>
          <w:tcPr>
            <w:tcW w:w="1418" w:type="dxa"/>
            <w:tcBorders>
              <w:top w:val="nil"/>
              <w:left w:val="nil"/>
              <w:bottom w:val="nil"/>
              <w:right w:val="nil"/>
            </w:tcBorders>
            <w:shd w:val="clear" w:color="auto" w:fill="BFBFBF" w:themeFill="background1" w:themeFillShade="BF"/>
            <w:vAlign w:val="center"/>
            <w:hideMark/>
          </w:tcPr>
          <w:p w14:paraId="2DF691A6" w14:textId="77777777" w:rsidR="00813F12" w:rsidRPr="00D71342" w:rsidRDefault="00813F12" w:rsidP="003D1399">
            <w:pPr>
              <w:jc w:val="center"/>
              <w:rPr>
                <w:b/>
                <w:bCs/>
                <w:sz w:val="14"/>
                <w:szCs w:val="14"/>
                <w:lang w:eastAsia="es-CO"/>
              </w:rPr>
            </w:pPr>
            <w:r w:rsidRPr="00D71342">
              <w:rPr>
                <w:b/>
                <w:bCs/>
                <w:sz w:val="14"/>
                <w:szCs w:val="14"/>
                <w:lang w:eastAsia="es-CO"/>
              </w:rPr>
              <w:t>Emprendimiento Ambiental</w:t>
            </w:r>
          </w:p>
        </w:tc>
        <w:tc>
          <w:tcPr>
            <w:tcW w:w="2126" w:type="dxa"/>
            <w:tcBorders>
              <w:top w:val="nil"/>
              <w:left w:val="nil"/>
              <w:bottom w:val="nil"/>
              <w:right w:val="nil"/>
            </w:tcBorders>
            <w:shd w:val="clear" w:color="auto" w:fill="BFBFBF" w:themeFill="background1" w:themeFillShade="BF"/>
            <w:vAlign w:val="center"/>
            <w:hideMark/>
          </w:tcPr>
          <w:p w14:paraId="673E4799" w14:textId="77777777" w:rsidR="00813F12" w:rsidRPr="00D71342" w:rsidRDefault="00813F12" w:rsidP="003D1399">
            <w:pPr>
              <w:rPr>
                <w:sz w:val="14"/>
                <w:szCs w:val="14"/>
                <w:lang w:eastAsia="es-CO"/>
              </w:rPr>
            </w:pPr>
            <w:r w:rsidRPr="00D71342">
              <w:rPr>
                <w:sz w:val="14"/>
                <w:szCs w:val="14"/>
                <w:lang w:eastAsia="es-CO"/>
              </w:rPr>
              <w:t>Adopción de iniciativas para mitigar la degradación fomentando normas sociales y conductuales.</w:t>
            </w:r>
          </w:p>
        </w:tc>
        <w:tc>
          <w:tcPr>
            <w:tcW w:w="3827" w:type="dxa"/>
            <w:tcBorders>
              <w:top w:val="nil"/>
              <w:left w:val="nil"/>
              <w:bottom w:val="nil"/>
              <w:right w:val="nil"/>
            </w:tcBorders>
            <w:shd w:val="clear" w:color="auto" w:fill="BFBFBF" w:themeFill="background1" w:themeFillShade="BF"/>
            <w:vAlign w:val="center"/>
            <w:hideMark/>
          </w:tcPr>
          <w:p w14:paraId="5B4D9E8F" w14:textId="77777777" w:rsidR="00813F12" w:rsidRPr="00D71342" w:rsidRDefault="00813F12" w:rsidP="003D1399">
            <w:pPr>
              <w:rPr>
                <w:sz w:val="14"/>
                <w:szCs w:val="14"/>
                <w:lang w:eastAsia="es-CO"/>
              </w:rPr>
            </w:pPr>
            <w:r w:rsidRPr="00D71342">
              <w:rPr>
                <w:sz w:val="14"/>
                <w:szCs w:val="14"/>
                <w:lang w:eastAsia="es-CO"/>
              </w:rPr>
              <w:t>Actúa como un catalizador para desarrollar y crear conciencia ecológica en la sociedad, a diferencia del emprendimiento verde, que busca un beneficio comercial directo capitalizando soluciones en el mercado.</w:t>
            </w:r>
          </w:p>
        </w:tc>
        <w:tc>
          <w:tcPr>
            <w:tcW w:w="2552" w:type="dxa"/>
            <w:tcBorders>
              <w:top w:val="nil"/>
              <w:left w:val="nil"/>
              <w:bottom w:val="nil"/>
              <w:right w:val="nil"/>
            </w:tcBorders>
            <w:shd w:val="clear" w:color="auto" w:fill="BFBFBF" w:themeFill="background1" w:themeFillShade="BF"/>
            <w:vAlign w:val="center"/>
          </w:tcPr>
          <w:p w14:paraId="4BC8B5F4" w14:textId="77777777" w:rsidR="00813F12" w:rsidRPr="00D71342" w:rsidRDefault="00813F12" w:rsidP="003D1399">
            <w:pPr>
              <w:rPr>
                <w:sz w:val="14"/>
                <w:szCs w:val="14"/>
                <w:lang w:eastAsia="es-CO"/>
              </w:rPr>
            </w:pPr>
            <w:r w:rsidRPr="00D71342">
              <w:rPr>
                <w:sz w:val="14"/>
                <w:szCs w:val="14"/>
                <w:lang w:eastAsia="es-CO"/>
              </w:rPr>
              <w:t>Sarvari et al. (2023)</w:t>
            </w:r>
          </w:p>
          <w:p w14:paraId="6DF941F5" w14:textId="77777777" w:rsidR="00813F12" w:rsidRPr="00D71342" w:rsidRDefault="00813F12" w:rsidP="003D1399">
            <w:pPr>
              <w:rPr>
                <w:sz w:val="14"/>
                <w:szCs w:val="14"/>
                <w:lang w:eastAsia="es-CO"/>
              </w:rPr>
            </w:pPr>
            <w:r w:rsidRPr="00D71342">
              <w:rPr>
                <w:sz w:val="14"/>
                <w:szCs w:val="14"/>
                <w:lang w:eastAsia="es-CO"/>
              </w:rPr>
              <w:t>Diale et al. (2021)</w:t>
            </w:r>
          </w:p>
        </w:tc>
      </w:tr>
      <w:tr w:rsidR="00D71342" w:rsidRPr="00D71342" w14:paraId="3B76DE3D" w14:textId="77777777" w:rsidTr="003D2473">
        <w:trPr>
          <w:trHeight w:val="188"/>
        </w:trPr>
        <w:tc>
          <w:tcPr>
            <w:tcW w:w="1418" w:type="dxa"/>
            <w:tcBorders>
              <w:top w:val="nil"/>
              <w:left w:val="nil"/>
              <w:bottom w:val="single" w:sz="4" w:space="0" w:color="auto"/>
              <w:right w:val="nil"/>
            </w:tcBorders>
            <w:vAlign w:val="center"/>
            <w:hideMark/>
          </w:tcPr>
          <w:p w14:paraId="35DA96CC" w14:textId="77777777" w:rsidR="00813F12" w:rsidRPr="00D71342" w:rsidRDefault="00813F12" w:rsidP="003D1399">
            <w:pPr>
              <w:jc w:val="center"/>
              <w:rPr>
                <w:b/>
                <w:bCs/>
                <w:sz w:val="14"/>
                <w:szCs w:val="14"/>
                <w:lang w:eastAsia="es-CO"/>
              </w:rPr>
            </w:pPr>
            <w:r w:rsidRPr="00D71342">
              <w:rPr>
                <w:b/>
                <w:bCs/>
                <w:sz w:val="14"/>
                <w:szCs w:val="14"/>
                <w:lang w:eastAsia="es-CO"/>
              </w:rPr>
              <w:t xml:space="preserve">Orientación Emprendedora Verde </w:t>
            </w:r>
          </w:p>
        </w:tc>
        <w:tc>
          <w:tcPr>
            <w:tcW w:w="2126" w:type="dxa"/>
            <w:tcBorders>
              <w:top w:val="nil"/>
              <w:left w:val="nil"/>
              <w:bottom w:val="single" w:sz="4" w:space="0" w:color="auto"/>
              <w:right w:val="nil"/>
            </w:tcBorders>
            <w:vAlign w:val="center"/>
            <w:hideMark/>
          </w:tcPr>
          <w:p w14:paraId="1DD7E993" w14:textId="77777777" w:rsidR="00813F12" w:rsidRPr="00D71342" w:rsidRDefault="00813F12" w:rsidP="003D1399">
            <w:pPr>
              <w:rPr>
                <w:sz w:val="14"/>
                <w:szCs w:val="14"/>
                <w:lang w:eastAsia="es-CO"/>
              </w:rPr>
            </w:pPr>
            <w:r w:rsidRPr="00D71342">
              <w:rPr>
                <w:sz w:val="14"/>
                <w:szCs w:val="14"/>
                <w:lang w:eastAsia="es-CO"/>
              </w:rPr>
              <w:t>Es una postura estratégica interna hacia la innovación verde, la proactividad ecológica y la asunción de riesgos.</w:t>
            </w:r>
          </w:p>
        </w:tc>
        <w:tc>
          <w:tcPr>
            <w:tcW w:w="3827" w:type="dxa"/>
            <w:tcBorders>
              <w:top w:val="nil"/>
              <w:left w:val="nil"/>
              <w:bottom w:val="single" w:sz="4" w:space="0" w:color="auto"/>
              <w:right w:val="nil"/>
            </w:tcBorders>
            <w:vAlign w:val="center"/>
            <w:hideMark/>
          </w:tcPr>
          <w:p w14:paraId="7F288198" w14:textId="77777777" w:rsidR="00813F12" w:rsidRPr="00D71342" w:rsidRDefault="00813F12" w:rsidP="003D1399">
            <w:pPr>
              <w:rPr>
                <w:sz w:val="14"/>
                <w:szCs w:val="14"/>
                <w:lang w:eastAsia="es-CO"/>
              </w:rPr>
            </w:pPr>
            <w:r w:rsidRPr="00D71342">
              <w:rPr>
                <w:sz w:val="14"/>
                <w:szCs w:val="14"/>
                <w:lang w:eastAsia="es-CO"/>
              </w:rPr>
              <w:t>Representa la disposición estratégica de la empresa (el cómo y por qué lo hace), mientras que el verde es el fenómeno o mecanismo práctico de identificar y aprovechar oportunidades (el qué hace).</w:t>
            </w:r>
          </w:p>
        </w:tc>
        <w:tc>
          <w:tcPr>
            <w:tcW w:w="2552" w:type="dxa"/>
            <w:tcBorders>
              <w:top w:val="nil"/>
              <w:left w:val="nil"/>
              <w:bottom w:val="single" w:sz="4" w:space="0" w:color="auto"/>
              <w:right w:val="nil"/>
            </w:tcBorders>
            <w:vAlign w:val="center"/>
          </w:tcPr>
          <w:p w14:paraId="50009236" w14:textId="77777777" w:rsidR="00813F12" w:rsidRPr="00D71342" w:rsidRDefault="00813F12" w:rsidP="003D1399">
            <w:pPr>
              <w:rPr>
                <w:sz w:val="14"/>
                <w:szCs w:val="14"/>
                <w:lang w:eastAsia="es-CO"/>
              </w:rPr>
            </w:pPr>
            <w:r w:rsidRPr="00D71342">
              <w:rPr>
                <w:sz w:val="14"/>
                <w:szCs w:val="14"/>
                <w:lang w:eastAsia="es-CO"/>
              </w:rPr>
              <w:t>Baquero (2024a)</w:t>
            </w:r>
          </w:p>
          <w:p w14:paraId="40F61455" w14:textId="77777777" w:rsidR="00813F12" w:rsidRPr="00D71342" w:rsidRDefault="00813F12" w:rsidP="003D1399">
            <w:pPr>
              <w:rPr>
                <w:sz w:val="14"/>
                <w:szCs w:val="14"/>
                <w:lang w:eastAsia="es-CO"/>
              </w:rPr>
            </w:pPr>
            <w:r w:rsidRPr="00D71342">
              <w:rPr>
                <w:sz w:val="14"/>
                <w:szCs w:val="14"/>
                <w:lang w:eastAsia="es-CO"/>
              </w:rPr>
              <w:t>Tuncer y Korchagina (2024)</w:t>
            </w:r>
          </w:p>
        </w:tc>
      </w:tr>
    </w:tbl>
    <w:p w14:paraId="68E2E236" w14:textId="7AEA6010" w:rsidR="00813F12" w:rsidRPr="00D71342" w:rsidRDefault="00813F12" w:rsidP="003D2473">
      <w:pPr>
        <w:ind w:left="426" w:right="670"/>
        <w:rPr>
          <w:sz w:val="14"/>
          <w:szCs w:val="18"/>
          <w:lang w:val="es-CO"/>
        </w:rPr>
      </w:pPr>
      <w:r w:rsidRPr="00D71342">
        <w:rPr>
          <w:sz w:val="14"/>
          <w:szCs w:val="18"/>
          <w:lang w:val="es-CO"/>
        </w:rPr>
        <w:t>Fuente: Elaboración propia.</w:t>
      </w:r>
    </w:p>
    <w:p w14:paraId="539D0ED9" w14:textId="002DAEC3" w:rsidR="00813F12" w:rsidRPr="00D71342" w:rsidRDefault="003D2473" w:rsidP="00813F12">
      <w:pPr>
        <w:pStyle w:val="Ttulo3"/>
        <w:spacing w:before="240" w:after="240"/>
        <w:ind w:left="426" w:right="670"/>
        <w:jc w:val="center"/>
        <w:sectPr w:rsidR="00813F12" w:rsidRPr="00D71342" w:rsidSect="003A6A51">
          <w:type w:val="continuous"/>
          <w:pgSz w:w="12240" w:h="15840"/>
          <w:pgMar w:top="1000" w:right="360" w:bottom="1200" w:left="720" w:header="0" w:footer="1000" w:gutter="0"/>
          <w:cols w:space="71"/>
        </w:sectPr>
      </w:pPr>
      <w:r w:rsidRPr="00D71342">
        <w:rPr>
          <w:spacing w:val="-6"/>
        </w:rPr>
        <w:t>Tabla 7. Cuadro resumen de las principales características del emprendimiento verde</w:t>
      </w:r>
    </w:p>
    <w:tbl>
      <w:tblPr>
        <w:tblW w:w="9922" w:type="dxa"/>
        <w:tblInd w:w="496" w:type="dxa"/>
        <w:tblCellMar>
          <w:left w:w="70" w:type="dxa"/>
          <w:right w:w="70" w:type="dxa"/>
        </w:tblCellMar>
        <w:tblLook w:val="04A0" w:firstRow="1" w:lastRow="0" w:firstColumn="1" w:lastColumn="0" w:noHBand="0" w:noVBand="1"/>
      </w:tblPr>
      <w:tblGrid>
        <w:gridCol w:w="1362"/>
        <w:gridCol w:w="1360"/>
        <w:gridCol w:w="5216"/>
        <w:gridCol w:w="1984"/>
      </w:tblGrid>
      <w:tr w:rsidR="00D71342" w:rsidRPr="00D71342" w14:paraId="2FBD31E8" w14:textId="77777777" w:rsidTr="003D2473">
        <w:trPr>
          <w:trHeight w:val="137"/>
        </w:trPr>
        <w:tc>
          <w:tcPr>
            <w:tcW w:w="1362" w:type="dxa"/>
            <w:tcBorders>
              <w:top w:val="single" w:sz="4" w:space="0" w:color="auto"/>
              <w:left w:val="nil"/>
              <w:bottom w:val="single" w:sz="4" w:space="0" w:color="auto"/>
              <w:right w:val="nil"/>
            </w:tcBorders>
            <w:vAlign w:val="center"/>
            <w:hideMark/>
          </w:tcPr>
          <w:p w14:paraId="47996FB7" w14:textId="77777777" w:rsidR="003D2473" w:rsidRPr="00D71342" w:rsidRDefault="003D2473" w:rsidP="003D1399">
            <w:pPr>
              <w:jc w:val="center"/>
              <w:rPr>
                <w:b/>
                <w:bCs/>
                <w:sz w:val="14"/>
                <w:szCs w:val="14"/>
                <w:lang w:eastAsia="es-CO"/>
              </w:rPr>
            </w:pPr>
            <w:r w:rsidRPr="00D71342">
              <w:rPr>
                <w:b/>
                <w:bCs/>
                <w:sz w:val="14"/>
                <w:szCs w:val="14"/>
                <w:lang w:eastAsia="es-CO"/>
              </w:rPr>
              <w:t>Nivel de Análisis</w:t>
            </w:r>
          </w:p>
        </w:tc>
        <w:tc>
          <w:tcPr>
            <w:tcW w:w="1360" w:type="dxa"/>
            <w:tcBorders>
              <w:top w:val="single" w:sz="4" w:space="0" w:color="auto"/>
              <w:left w:val="nil"/>
              <w:bottom w:val="single" w:sz="4" w:space="0" w:color="auto"/>
              <w:right w:val="nil"/>
            </w:tcBorders>
            <w:vAlign w:val="center"/>
            <w:hideMark/>
          </w:tcPr>
          <w:p w14:paraId="645F9C2A" w14:textId="77777777" w:rsidR="003D2473" w:rsidRPr="00D71342" w:rsidRDefault="003D2473" w:rsidP="003D1399">
            <w:pPr>
              <w:jc w:val="center"/>
              <w:rPr>
                <w:b/>
                <w:bCs/>
                <w:sz w:val="14"/>
                <w:szCs w:val="14"/>
                <w:lang w:eastAsia="es-CO"/>
              </w:rPr>
            </w:pPr>
            <w:r w:rsidRPr="00D71342">
              <w:rPr>
                <w:b/>
                <w:bCs/>
                <w:sz w:val="14"/>
                <w:szCs w:val="14"/>
                <w:lang w:eastAsia="es-CO"/>
              </w:rPr>
              <w:t>Característica</w:t>
            </w:r>
          </w:p>
        </w:tc>
        <w:tc>
          <w:tcPr>
            <w:tcW w:w="5216" w:type="dxa"/>
            <w:tcBorders>
              <w:top w:val="single" w:sz="4" w:space="0" w:color="auto"/>
              <w:left w:val="nil"/>
              <w:bottom w:val="single" w:sz="4" w:space="0" w:color="auto"/>
              <w:right w:val="nil"/>
            </w:tcBorders>
            <w:vAlign w:val="center"/>
            <w:hideMark/>
          </w:tcPr>
          <w:p w14:paraId="42F6EB8C" w14:textId="77777777" w:rsidR="003D2473" w:rsidRPr="00D71342" w:rsidRDefault="003D2473" w:rsidP="003D1399">
            <w:pPr>
              <w:jc w:val="center"/>
              <w:rPr>
                <w:b/>
                <w:bCs/>
                <w:sz w:val="14"/>
                <w:szCs w:val="14"/>
                <w:lang w:eastAsia="es-CO"/>
              </w:rPr>
            </w:pPr>
            <w:r w:rsidRPr="00D71342">
              <w:rPr>
                <w:b/>
                <w:bCs/>
                <w:sz w:val="14"/>
                <w:szCs w:val="14"/>
                <w:lang w:eastAsia="es-CO"/>
              </w:rPr>
              <w:t>Descripción Principal</w:t>
            </w:r>
          </w:p>
        </w:tc>
        <w:tc>
          <w:tcPr>
            <w:tcW w:w="1984" w:type="dxa"/>
            <w:tcBorders>
              <w:top w:val="single" w:sz="4" w:space="0" w:color="auto"/>
              <w:left w:val="nil"/>
              <w:bottom w:val="single" w:sz="4" w:space="0" w:color="auto"/>
              <w:right w:val="nil"/>
            </w:tcBorders>
            <w:noWrap/>
            <w:vAlign w:val="center"/>
            <w:hideMark/>
          </w:tcPr>
          <w:p w14:paraId="15B7301B" w14:textId="77777777" w:rsidR="003D2473" w:rsidRPr="00D71342" w:rsidRDefault="003D2473" w:rsidP="003D1399">
            <w:pPr>
              <w:jc w:val="center"/>
              <w:rPr>
                <w:b/>
                <w:bCs/>
                <w:sz w:val="14"/>
                <w:szCs w:val="14"/>
                <w:lang w:eastAsia="es-CO"/>
              </w:rPr>
            </w:pPr>
            <w:r w:rsidRPr="00D71342">
              <w:rPr>
                <w:b/>
                <w:bCs/>
                <w:sz w:val="14"/>
                <w:szCs w:val="14"/>
                <w:lang w:eastAsia="es-CO"/>
              </w:rPr>
              <w:t>Autor(es)</w:t>
            </w:r>
          </w:p>
        </w:tc>
      </w:tr>
      <w:tr w:rsidR="00D71342" w:rsidRPr="00D71342" w14:paraId="10D37D51" w14:textId="77777777" w:rsidTr="003D2473">
        <w:trPr>
          <w:trHeight w:val="494"/>
        </w:trPr>
        <w:tc>
          <w:tcPr>
            <w:tcW w:w="1362" w:type="dxa"/>
            <w:vMerge w:val="restart"/>
            <w:tcBorders>
              <w:top w:val="nil"/>
              <w:left w:val="nil"/>
              <w:right w:val="nil"/>
            </w:tcBorders>
            <w:vAlign w:val="center"/>
            <w:hideMark/>
          </w:tcPr>
          <w:p w14:paraId="083070AB" w14:textId="77777777" w:rsidR="003D2473" w:rsidRPr="00D71342" w:rsidRDefault="003D2473" w:rsidP="003D2473">
            <w:pPr>
              <w:jc w:val="center"/>
              <w:rPr>
                <w:b/>
                <w:bCs/>
                <w:sz w:val="14"/>
                <w:szCs w:val="14"/>
                <w:lang w:eastAsia="es-CO"/>
              </w:rPr>
            </w:pPr>
            <w:r w:rsidRPr="00D71342">
              <w:rPr>
                <w:b/>
                <w:bCs/>
                <w:sz w:val="14"/>
                <w:szCs w:val="14"/>
                <w:lang w:eastAsia="es-CO"/>
              </w:rPr>
              <w:t>Individual</w:t>
            </w:r>
          </w:p>
        </w:tc>
        <w:tc>
          <w:tcPr>
            <w:tcW w:w="1360" w:type="dxa"/>
            <w:tcBorders>
              <w:top w:val="nil"/>
              <w:left w:val="nil"/>
              <w:bottom w:val="nil"/>
              <w:right w:val="nil"/>
            </w:tcBorders>
            <w:shd w:val="clear" w:color="000000" w:fill="BFBFBF"/>
            <w:vAlign w:val="center"/>
            <w:hideMark/>
          </w:tcPr>
          <w:p w14:paraId="455F0C5D" w14:textId="77777777" w:rsidR="003D2473" w:rsidRPr="00D71342" w:rsidRDefault="003D2473" w:rsidP="003D1399">
            <w:pPr>
              <w:rPr>
                <w:sz w:val="14"/>
                <w:szCs w:val="14"/>
                <w:lang w:eastAsia="es-CO"/>
              </w:rPr>
            </w:pPr>
            <w:r w:rsidRPr="00D71342">
              <w:rPr>
                <w:sz w:val="14"/>
                <w:szCs w:val="14"/>
                <w:lang w:eastAsia="es-CO"/>
              </w:rPr>
              <w:t>Valores ambientales</w:t>
            </w:r>
          </w:p>
        </w:tc>
        <w:tc>
          <w:tcPr>
            <w:tcW w:w="5216" w:type="dxa"/>
            <w:tcBorders>
              <w:top w:val="nil"/>
              <w:left w:val="nil"/>
              <w:bottom w:val="nil"/>
              <w:right w:val="nil"/>
            </w:tcBorders>
            <w:shd w:val="clear" w:color="000000" w:fill="BFBFBF"/>
            <w:vAlign w:val="center"/>
            <w:hideMark/>
          </w:tcPr>
          <w:p w14:paraId="6A6A271F" w14:textId="77777777" w:rsidR="003D2473" w:rsidRPr="00D71342" w:rsidRDefault="003D2473" w:rsidP="003D1399">
            <w:pPr>
              <w:rPr>
                <w:sz w:val="14"/>
                <w:szCs w:val="14"/>
                <w:lang w:eastAsia="es-CO"/>
              </w:rPr>
            </w:pPr>
            <w:r w:rsidRPr="00D71342">
              <w:rPr>
                <w:sz w:val="14"/>
                <w:szCs w:val="14"/>
                <w:lang w:eastAsia="es-CO"/>
              </w:rPr>
              <w:t>Los emprendedores priorizan la protección del entorno natural y la sostenibilidad por encima de las ganancias puramente económicas, guiando los objetivos éticos de la empresa.</w:t>
            </w:r>
          </w:p>
        </w:tc>
        <w:tc>
          <w:tcPr>
            <w:tcW w:w="1984" w:type="dxa"/>
            <w:tcBorders>
              <w:top w:val="nil"/>
              <w:left w:val="nil"/>
              <w:bottom w:val="nil"/>
              <w:right w:val="nil"/>
            </w:tcBorders>
            <w:shd w:val="clear" w:color="000000" w:fill="BFBFBF"/>
            <w:vAlign w:val="center"/>
            <w:hideMark/>
          </w:tcPr>
          <w:p w14:paraId="056BBA37" w14:textId="77777777" w:rsidR="003D2473" w:rsidRPr="00D71342" w:rsidRDefault="003D2473" w:rsidP="003D1399">
            <w:pPr>
              <w:rPr>
                <w:sz w:val="14"/>
                <w:szCs w:val="14"/>
                <w:lang w:eastAsia="es-CO"/>
              </w:rPr>
            </w:pPr>
            <w:r w:rsidRPr="00D71342">
              <w:rPr>
                <w:sz w:val="14"/>
                <w:szCs w:val="14"/>
                <w:lang w:eastAsia="es-CO"/>
              </w:rPr>
              <w:t>Yasir et al. (2023)</w:t>
            </w:r>
          </w:p>
        </w:tc>
      </w:tr>
      <w:tr w:rsidR="00D71342" w:rsidRPr="00D71342" w14:paraId="237B25FF" w14:textId="77777777" w:rsidTr="003D2473">
        <w:trPr>
          <w:trHeight w:val="88"/>
        </w:trPr>
        <w:tc>
          <w:tcPr>
            <w:tcW w:w="1362" w:type="dxa"/>
            <w:vMerge/>
            <w:tcBorders>
              <w:left w:val="nil"/>
              <w:right w:val="nil"/>
            </w:tcBorders>
            <w:vAlign w:val="center"/>
            <w:hideMark/>
          </w:tcPr>
          <w:p w14:paraId="1C7B3BC8" w14:textId="77777777" w:rsidR="003D2473" w:rsidRPr="00D71342" w:rsidRDefault="003D2473" w:rsidP="003D2473">
            <w:pPr>
              <w:jc w:val="center"/>
              <w:rPr>
                <w:b/>
                <w:bCs/>
                <w:sz w:val="14"/>
                <w:szCs w:val="14"/>
                <w:lang w:eastAsia="es-CO"/>
              </w:rPr>
            </w:pPr>
          </w:p>
        </w:tc>
        <w:tc>
          <w:tcPr>
            <w:tcW w:w="1360" w:type="dxa"/>
            <w:tcBorders>
              <w:top w:val="nil"/>
              <w:left w:val="nil"/>
              <w:bottom w:val="nil"/>
              <w:right w:val="nil"/>
            </w:tcBorders>
            <w:vAlign w:val="center"/>
            <w:hideMark/>
          </w:tcPr>
          <w:p w14:paraId="3EB139B4" w14:textId="77777777" w:rsidR="003D2473" w:rsidRPr="00D71342" w:rsidRDefault="003D2473" w:rsidP="003D1399">
            <w:pPr>
              <w:rPr>
                <w:sz w:val="14"/>
                <w:szCs w:val="14"/>
                <w:lang w:eastAsia="es-CO"/>
              </w:rPr>
            </w:pPr>
            <w:r w:rsidRPr="00D71342">
              <w:rPr>
                <w:sz w:val="14"/>
                <w:szCs w:val="14"/>
                <w:lang w:eastAsia="es-CO"/>
              </w:rPr>
              <w:t>Autoeficacia verde</w:t>
            </w:r>
          </w:p>
        </w:tc>
        <w:tc>
          <w:tcPr>
            <w:tcW w:w="5216" w:type="dxa"/>
            <w:tcBorders>
              <w:top w:val="nil"/>
              <w:left w:val="nil"/>
              <w:bottom w:val="nil"/>
              <w:right w:val="nil"/>
            </w:tcBorders>
            <w:vAlign w:val="center"/>
            <w:hideMark/>
          </w:tcPr>
          <w:p w14:paraId="2FFF8442" w14:textId="77777777" w:rsidR="003D2473" w:rsidRPr="00D71342" w:rsidRDefault="003D2473" w:rsidP="003D1399">
            <w:pPr>
              <w:rPr>
                <w:sz w:val="14"/>
                <w:szCs w:val="14"/>
                <w:lang w:eastAsia="es-CO"/>
              </w:rPr>
            </w:pPr>
            <w:r w:rsidRPr="00D71342">
              <w:rPr>
                <w:sz w:val="14"/>
                <w:szCs w:val="14"/>
                <w:lang w:eastAsia="es-CO"/>
              </w:rPr>
              <w:t>Es la confianza que tiene el individuo en sus propias habilidades y conocimientos para establecer un negocio ecológico y resolver problemas ambientales con éxito.</w:t>
            </w:r>
          </w:p>
        </w:tc>
        <w:tc>
          <w:tcPr>
            <w:tcW w:w="1984" w:type="dxa"/>
            <w:tcBorders>
              <w:top w:val="nil"/>
              <w:left w:val="nil"/>
              <w:bottom w:val="nil"/>
              <w:right w:val="nil"/>
            </w:tcBorders>
            <w:vAlign w:val="center"/>
            <w:hideMark/>
          </w:tcPr>
          <w:p w14:paraId="7881B7F5" w14:textId="77777777" w:rsidR="003D2473" w:rsidRPr="00D71342" w:rsidRDefault="003D2473" w:rsidP="003D1399">
            <w:pPr>
              <w:rPr>
                <w:sz w:val="14"/>
                <w:szCs w:val="14"/>
                <w:lang w:eastAsia="es-CO"/>
              </w:rPr>
            </w:pPr>
            <w:r w:rsidRPr="00D71342">
              <w:rPr>
                <w:sz w:val="14"/>
                <w:szCs w:val="14"/>
                <w:lang w:eastAsia="es-CO"/>
              </w:rPr>
              <w:t>Ferreira y Ferreira (2023)</w:t>
            </w:r>
            <w:r w:rsidRPr="00D71342">
              <w:rPr>
                <w:sz w:val="14"/>
                <w:szCs w:val="14"/>
                <w:lang w:eastAsia="es-CO"/>
              </w:rPr>
              <w:br/>
              <w:t>Rahayu (2024)</w:t>
            </w:r>
            <w:r w:rsidRPr="00D71342">
              <w:rPr>
                <w:sz w:val="14"/>
                <w:szCs w:val="14"/>
                <w:lang w:eastAsia="es-CO"/>
              </w:rPr>
              <w:br/>
              <w:t>Thao et al. (2025)</w:t>
            </w:r>
          </w:p>
        </w:tc>
      </w:tr>
      <w:tr w:rsidR="00D71342" w:rsidRPr="00D71342" w14:paraId="2B34A232" w14:textId="77777777" w:rsidTr="003D2473">
        <w:trPr>
          <w:trHeight w:val="64"/>
        </w:trPr>
        <w:tc>
          <w:tcPr>
            <w:tcW w:w="1362" w:type="dxa"/>
            <w:vMerge/>
            <w:tcBorders>
              <w:left w:val="nil"/>
              <w:right w:val="nil"/>
            </w:tcBorders>
            <w:vAlign w:val="center"/>
            <w:hideMark/>
          </w:tcPr>
          <w:p w14:paraId="466D6201" w14:textId="77777777" w:rsidR="003D2473" w:rsidRPr="00D71342" w:rsidRDefault="003D2473" w:rsidP="003D2473">
            <w:pPr>
              <w:jc w:val="center"/>
              <w:rPr>
                <w:b/>
                <w:bCs/>
                <w:sz w:val="14"/>
                <w:szCs w:val="14"/>
                <w:lang w:eastAsia="es-CO"/>
              </w:rPr>
            </w:pPr>
          </w:p>
        </w:tc>
        <w:tc>
          <w:tcPr>
            <w:tcW w:w="1360" w:type="dxa"/>
            <w:tcBorders>
              <w:top w:val="nil"/>
              <w:left w:val="nil"/>
              <w:bottom w:val="nil"/>
              <w:right w:val="nil"/>
            </w:tcBorders>
            <w:shd w:val="clear" w:color="000000" w:fill="BFBFBF"/>
            <w:vAlign w:val="center"/>
            <w:hideMark/>
          </w:tcPr>
          <w:p w14:paraId="6D55AD4E" w14:textId="77777777" w:rsidR="003D2473" w:rsidRPr="00D71342" w:rsidRDefault="003D2473" w:rsidP="003D1399">
            <w:pPr>
              <w:rPr>
                <w:sz w:val="14"/>
                <w:szCs w:val="14"/>
                <w:lang w:eastAsia="es-CO"/>
              </w:rPr>
            </w:pPr>
            <w:r w:rsidRPr="00D71342">
              <w:rPr>
                <w:sz w:val="14"/>
                <w:szCs w:val="14"/>
                <w:lang w:eastAsia="es-CO"/>
              </w:rPr>
              <w:t>Experiencia previa</w:t>
            </w:r>
          </w:p>
        </w:tc>
        <w:tc>
          <w:tcPr>
            <w:tcW w:w="5216" w:type="dxa"/>
            <w:tcBorders>
              <w:top w:val="nil"/>
              <w:left w:val="nil"/>
              <w:bottom w:val="nil"/>
              <w:right w:val="nil"/>
            </w:tcBorders>
            <w:shd w:val="clear" w:color="000000" w:fill="BFBFBF"/>
            <w:vAlign w:val="center"/>
            <w:hideMark/>
          </w:tcPr>
          <w:p w14:paraId="0AE68D97" w14:textId="77777777" w:rsidR="003D2473" w:rsidRPr="00D71342" w:rsidRDefault="003D2473" w:rsidP="003D1399">
            <w:pPr>
              <w:rPr>
                <w:sz w:val="14"/>
                <w:szCs w:val="14"/>
                <w:lang w:eastAsia="es-CO"/>
              </w:rPr>
            </w:pPr>
            <w:r w:rsidRPr="00D71342">
              <w:rPr>
                <w:sz w:val="14"/>
                <w:szCs w:val="14"/>
                <w:lang w:eastAsia="es-CO"/>
              </w:rPr>
              <w:t>La experiencia laboral o emprendedora anterior dota al individuo de conocimientos para navegar la incertidumbre tecnológica y optimizar la ejecución de proyectos verdes.</w:t>
            </w:r>
          </w:p>
        </w:tc>
        <w:tc>
          <w:tcPr>
            <w:tcW w:w="1984" w:type="dxa"/>
            <w:tcBorders>
              <w:top w:val="nil"/>
              <w:left w:val="nil"/>
              <w:bottom w:val="nil"/>
              <w:right w:val="nil"/>
            </w:tcBorders>
            <w:shd w:val="clear" w:color="000000" w:fill="BFBFBF"/>
            <w:vAlign w:val="center"/>
            <w:hideMark/>
          </w:tcPr>
          <w:p w14:paraId="49D27DE5" w14:textId="77777777" w:rsidR="003D2473" w:rsidRPr="00D71342" w:rsidRDefault="003D2473" w:rsidP="003D1399">
            <w:pPr>
              <w:rPr>
                <w:sz w:val="14"/>
                <w:szCs w:val="14"/>
                <w:lang w:eastAsia="es-CO"/>
              </w:rPr>
            </w:pPr>
            <w:r w:rsidRPr="00D71342">
              <w:rPr>
                <w:sz w:val="14"/>
                <w:szCs w:val="14"/>
                <w:lang w:eastAsia="es-CO"/>
              </w:rPr>
              <w:t>Widiatmaka et al. (2025)</w:t>
            </w:r>
            <w:r w:rsidRPr="00D71342">
              <w:rPr>
                <w:sz w:val="14"/>
                <w:szCs w:val="14"/>
                <w:lang w:eastAsia="es-CO"/>
              </w:rPr>
              <w:br/>
              <w:t>Yasir et al. (2023)</w:t>
            </w:r>
          </w:p>
        </w:tc>
      </w:tr>
      <w:tr w:rsidR="00D71342" w:rsidRPr="00D71342" w14:paraId="12AE45BB" w14:textId="77777777" w:rsidTr="003D2473">
        <w:trPr>
          <w:trHeight w:val="64"/>
        </w:trPr>
        <w:tc>
          <w:tcPr>
            <w:tcW w:w="1362" w:type="dxa"/>
            <w:vMerge/>
            <w:tcBorders>
              <w:left w:val="nil"/>
              <w:right w:val="nil"/>
            </w:tcBorders>
            <w:vAlign w:val="center"/>
            <w:hideMark/>
          </w:tcPr>
          <w:p w14:paraId="1D3F1023" w14:textId="77777777" w:rsidR="003D2473" w:rsidRPr="00D71342" w:rsidRDefault="003D2473" w:rsidP="003D2473">
            <w:pPr>
              <w:jc w:val="center"/>
              <w:rPr>
                <w:b/>
                <w:bCs/>
                <w:sz w:val="14"/>
                <w:szCs w:val="14"/>
                <w:lang w:eastAsia="es-CO"/>
              </w:rPr>
            </w:pPr>
          </w:p>
        </w:tc>
        <w:tc>
          <w:tcPr>
            <w:tcW w:w="1360" w:type="dxa"/>
            <w:tcBorders>
              <w:top w:val="nil"/>
              <w:left w:val="nil"/>
              <w:bottom w:val="nil"/>
              <w:right w:val="nil"/>
            </w:tcBorders>
            <w:vAlign w:val="center"/>
            <w:hideMark/>
          </w:tcPr>
          <w:p w14:paraId="175ADC7E" w14:textId="77777777" w:rsidR="003D2473" w:rsidRPr="00D71342" w:rsidRDefault="003D2473" w:rsidP="003D1399">
            <w:pPr>
              <w:rPr>
                <w:sz w:val="14"/>
                <w:szCs w:val="14"/>
                <w:lang w:eastAsia="es-CO"/>
              </w:rPr>
            </w:pPr>
            <w:r w:rsidRPr="00D71342">
              <w:rPr>
                <w:sz w:val="14"/>
                <w:szCs w:val="14"/>
                <w:lang w:eastAsia="es-CO"/>
              </w:rPr>
              <w:t>Capital social</w:t>
            </w:r>
          </w:p>
        </w:tc>
        <w:tc>
          <w:tcPr>
            <w:tcW w:w="5216" w:type="dxa"/>
            <w:tcBorders>
              <w:top w:val="nil"/>
              <w:left w:val="nil"/>
              <w:bottom w:val="nil"/>
              <w:right w:val="nil"/>
            </w:tcBorders>
            <w:vAlign w:val="center"/>
            <w:hideMark/>
          </w:tcPr>
          <w:p w14:paraId="13C99615" w14:textId="77777777" w:rsidR="003D2473" w:rsidRPr="00D71342" w:rsidRDefault="003D2473" w:rsidP="003D1399">
            <w:pPr>
              <w:rPr>
                <w:sz w:val="14"/>
                <w:szCs w:val="14"/>
                <w:lang w:eastAsia="es-CO"/>
              </w:rPr>
            </w:pPr>
            <w:r w:rsidRPr="00D71342">
              <w:rPr>
                <w:sz w:val="14"/>
                <w:szCs w:val="14"/>
                <w:lang w:eastAsia="es-CO"/>
              </w:rPr>
              <w:t>Las redes de contactos, las relaciones y la confianza comunitaria facilitan al emprendedor el acceso a recursos críticos, financiamiento e información clave.</w:t>
            </w:r>
          </w:p>
        </w:tc>
        <w:tc>
          <w:tcPr>
            <w:tcW w:w="1984" w:type="dxa"/>
            <w:tcBorders>
              <w:top w:val="nil"/>
              <w:left w:val="nil"/>
              <w:bottom w:val="nil"/>
              <w:right w:val="nil"/>
            </w:tcBorders>
            <w:vAlign w:val="center"/>
            <w:hideMark/>
          </w:tcPr>
          <w:p w14:paraId="378F61F8" w14:textId="77777777" w:rsidR="003D2473" w:rsidRPr="00D71342" w:rsidRDefault="003D2473" w:rsidP="003D1399">
            <w:pPr>
              <w:rPr>
                <w:sz w:val="14"/>
                <w:szCs w:val="14"/>
                <w:lang w:eastAsia="es-CO"/>
              </w:rPr>
            </w:pPr>
            <w:r w:rsidRPr="00D71342">
              <w:rPr>
                <w:sz w:val="14"/>
                <w:szCs w:val="14"/>
                <w:lang w:eastAsia="es-CO"/>
              </w:rPr>
              <w:t>Kansiime et al. (2025)</w:t>
            </w:r>
          </w:p>
        </w:tc>
      </w:tr>
      <w:tr w:rsidR="00D71342" w:rsidRPr="00D71342" w14:paraId="0B605048" w14:textId="77777777" w:rsidTr="003328F3">
        <w:trPr>
          <w:trHeight w:val="56"/>
        </w:trPr>
        <w:tc>
          <w:tcPr>
            <w:tcW w:w="1362" w:type="dxa"/>
            <w:vMerge/>
            <w:tcBorders>
              <w:left w:val="nil"/>
              <w:right w:val="nil"/>
            </w:tcBorders>
            <w:vAlign w:val="center"/>
            <w:hideMark/>
          </w:tcPr>
          <w:p w14:paraId="42B5DA38" w14:textId="77777777" w:rsidR="003D2473" w:rsidRPr="00D71342" w:rsidRDefault="003D2473" w:rsidP="003D2473">
            <w:pPr>
              <w:jc w:val="center"/>
              <w:rPr>
                <w:b/>
                <w:bCs/>
                <w:sz w:val="14"/>
                <w:szCs w:val="14"/>
                <w:lang w:eastAsia="es-CO"/>
              </w:rPr>
            </w:pPr>
          </w:p>
        </w:tc>
        <w:tc>
          <w:tcPr>
            <w:tcW w:w="1360" w:type="dxa"/>
            <w:tcBorders>
              <w:top w:val="nil"/>
              <w:left w:val="nil"/>
              <w:right w:val="nil"/>
            </w:tcBorders>
            <w:shd w:val="clear" w:color="000000" w:fill="BFBFBF"/>
            <w:vAlign w:val="center"/>
            <w:hideMark/>
          </w:tcPr>
          <w:p w14:paraId="55817487" w14:textId="77777777" w:rsidR="003D2473" w:rsidRPr="00D71342" w:rsidRDefault="003D2473" w:rsidP="003D1399">
            <w:pPr>
              <w:rPr>
                <w:sz w:val="14"/>
                <w:szCs w:val="14"/>
                <w:lang w:eastAsia="es-CO"/>
              </w:rPr>
            </w:pPr>
            <w:r w:rsidRPr="00D71342">
              <w:rPr>
                <w:sz w:val="14"/>
                <w:szCs w:val="14"/>
                <w:lang w:eastAsia="es-CO"/>
              </w:rPr>
              <w:t>Rasgos del emprendedor</w:t>
            </w:r>
          </w:p>
        </w:tc>
        <w:tc>
          <w:tcPr>
            <w:tcW w:w="5216" w:type="dxa"/>
            <w:tcBorders>
              <w:top w:val="nil"/>
              <w:left w:val="nil"/>
              <w:right w:val="nil"/>
            </w:tcBorders>
            <w:shd w:val="clear" w:color="000000" w:fill="BFBFBF"/>
            <w:vAlign w:val="center"/>
            <w:hideMark/>
          </w:tcPr>
          <w:p w14:paraId="6260453E" w14:textId="77777777" w:rsidR="003D2473" w:rsidRPr="00D71342" w:rsidRDefault="003D2473" w:rsidP="003D1399">
            <w:pPr>
              <w:rPr>
                <w:sz w:val="14"/>
                <w:szCs w:val="14"/>
                <w:lang w:eastAsia="es-CO"/>
              </w:rPr>
            </w:pPr>
            <w:r w:rsidRPr="00D71342">
              <w:rPr>
                <w:sz w:val="14"/>
                <w:szCs w:val="14"/>
                <w:lang w:eastAsia="es-CO"/>
              </w:rPr>
              <w:t>Incluye atributos psicológicos como la necesidad de logro, la creatividad y la disposición a asumir riesgos calculados para balancear los objetivos económicos y ecológicos.</w:t>
            </w:r>
          </w:p>
        </w:tc>
        <w:tc>
          <w:tcPr>
            <w:tcW w:w="1984" w:type="dxa"/>
            <w:tcBorders>
              <w:top w:val="nil"/>
              <w:left w:val="nil"/>
              <w:right w:val="nil"/>
            </w:tcBorders>
            <w:shd w:val="clear" w:color="000000" w:fill="BFBFBF"/>
            <w:vAlign w:val="center"/>
            <w:hideMark/>
          </w:tcPr>
          <w:p w14:paraId="224D5270" w14:textId="77777777" w:rsidR="003D2473" w:rsidRPr="00D71342" w:rsidRDefault="003D2473" w:rsidP="003D1399">
            <w:pPr>
              <w:rPr>
                <w:sz w:val="14"/>
                <w:szCs w:val="14"/>
                <w:lang w:eastAsia="es-CO"/>
              </w:rPr>
            </w:pPr>
            <w:r w:rsidRPr="00D71342">
              <w:rPr>
                <w:sz w:val="14"/>
                <w:szCs w:val="14"/>
                <w:lang w:eastAsia="es-CO"/>
              </w:rPr>
              <w:t>Ding et al. (2025)</w:t>
            </w:r>
            <w:r w:rsidRPr="00D71342">
              <w:rPr>
                <w:sz w:val="14"/>
                <w:szCs w:val="14"/>
                <w:lang w:eastAsia="es-CO"/>
              </w:rPr>
              <w:br/>
              <w:t>Lemaire et al. (2022)</w:t>
            </w:r>
            <w:r w:rsidRPr="00D71342">
              <w:rPr>
                <w:sz w:val="14"/>
                <w:szCs w:val="14"/>
                <w:lang w:eastAsia="es-CO"/>
              </w:rPr>
              <w:br/>
              <w:t>Yasir et al. (2023)</w:t>
            </w:r>
          </w:p>
        </w:tc>
      </w:tr>
      <w:tr w:rsidR="00D71342" w:rsidRPr="00D71342" w14:paraId="217D0A42" w14:textId="77777777" w:rsidTr="003328F3">
        <w:trPr>
          <w:trHeight w:val="56"/>
        </w:trPr>
        <w:tc>
          <w:tcPr>
            <w:tcW w:w="1362" w:type="dxa"/>
            <w:vMerge/>
            <w:tcBorders>
              <w:left w:val="nil"/>
              <w:bottom w:val="single" w:sz="4" w:space="0" w:color="auto"/>
              <w:right w:val="nil"/>
            </w:tcBorders>
            <w:vAlign w:val="center"/>
            <w:hideMark/>
          </w:tcPr>
          <w:p w14:paraId="08F49979" w14:textId="77777777" w:rsidR="003D2473" w:rsidRPr="00D71342" w:rsidRDefault="003D2473" w:rsidP="003D2473">
            <w:pPr>
              <w:jc w:val="center"/>
              <w:rPr>
                <w:b/>
                <w:bCs/>
                <w:sz w:val="14"/>
                <w:szCs w:val="14"/>
                <w:lang w:eastAsia="es-CO"/>
              </w:rPr>
            </w:pPr>
          </w:p>
        </w:tc>
        <w:tc>
          <w:tcPr>
            <w:tcW w:w="1360" w:type="dxa"/>
            <w:tcBorders>
              <w:top w:val="nil"/>
              <w:left w:val="nil"/>
              <w:bottom w:val="single" w:sz="4" w:space="0" w:color="auto"/>
              <w:right w:val="nil"/>
            </w:tcBorders>
            <w:vAlign w:val="center"/>
            <w:hideMark/>
          </w:tcPr>
          <w:p w14:paraId="2AB07D17" w14:textId="77777777" w:rsidR="003D2473" w:rsidRPr="00D71342" w:rsidRDefault="003D2473" w:rsidP="003D1399">
            <w:pPr>
              <w:rPr>
                <w:sz w:val="14"/>
                <w:szCs w:val="14"/>
                <w:lang w:eastAsia="es-CO"/>
              </w:rPr>
            </w:pPr>
            <w:r w:rsidRPr="00D71342">
              <w:rPr>
                <w:sz w:val="14"/>
                <w:szCs w:val="14"/>
                <w:lang w:eastAsia="es-CO"/>
              </w:rPr>
              <w:t>Demografía</w:t>
            </w:r>
          </w:p>
        </w:tc>
        <w:tc>
          <w:tcPr>
            <w:tcW w:w="5216" w:type="dxa"/>
            <w:tcBorders>
              <w:top w:val="nil"/>
              <w:left w:val="nil"/>
              <w:bottom w:val="single" w:sz="4" w:space="0" w:color="auto"/>
              <w:right w:val="nil"/>
            </w:tcBorders>
            <w:vAlign w:val="center"/>
            <w:hideMark/>
          </w:tcPr>
          <w:p w14:paraId="4FBBB5CB" w14:textId="77777777" w:rsidR="003D2473" w:rsidRPr="00D71342" w:rsidRDefault="003D2473" w:rsidP="003D1399">
            <w:pPr>
              <w:rPr>
                <w:sz w:val="14"/>
                <w:szCs w:val="14"/>
                <w:lang w:eastAsia="es-CO"/>
              </w:rPr>
            </w:pPr>
            <w:r w:rsidRPr="00D71342">
              <w:rPr>
                <w:sz w:val="14"/>
                <w:szCs w:val="14"/>
                <w:lang w:eastAsia="es-CO"/>
              </w:rPr>
              <w:t>Factores como el nivel educativo, la edad (por ejemplo, las nuevas generaciones) y el género influyen en la sensibilidad hacia el medio ambiente y la intención de emprender.</w:t>
            </w:r>
          </w:p>
        </w:tc>
        <w:tc>
          <w:tcPr>
            <w:tcW w:w="1984" w:type="dxa"/>
            <w:tcBorders>
              <w:top w:val="nil"/>
              <w:left w:val="nil"/>
              <w:bottom w:val="single" w:sz="4" w:space="0" w:color="auto"/>
              <w:right w:val="nil"/>
            </w:tcBorders>
            <w:vAlign w:val="center"/>
            <w:hideMark/>
          </w:tcPr>
          <w:p w14:paraId="6F3A0FCC" w14:textId="77777777" w:rsidR="003D2473" w:rsidRPr="00D71342" w:rsidRDefault="003D2473" w:rsidP="003D1399">
            <w:pPr>
              <w:rPr>
                <w:sz w:val="14"/>
                <w:szCs w:val="14"/>
                <w:lang w:eastAsia="es-CO"/>
              </w:rPr>
            </w:pPr>
            <w:r w:rsidRPr="00D71342">
              <w:rPr>
                <w:sz w:val="14"/>
                <w:szCs w:val="14"/>
                <w:lang w:eastAsia="es-CO"/>
              </w:rPr>
              <w:t>Chen et al. (2023)</w:t>
            </w:r>
          </w:p>
        </w:tc>
      </w:tr>
      <w:tr w:rsidR="00D71342" w:rsidRPr="00D71342" w14:paraId="0558D1B7" w14:textId="77777777" w:rsidTr="003328F3">
        <w:trPr>
          <w:trHeight w:val="46"/>
        </w:trPr>
        <w:tc>
          <w:tcPr>
            <w:tcW w:w="1362" w:type="dxa"/>
            <w:vMerge w:val="restart"/>
            <w:tcBorders>
              <w:top w:val="nil"/>
              <w:left w:val="nil"/>
              <w:right w:val="nil"/>
            </w:tcBorders>
            <w:noWrap/>
            <w:vAlign w:val="center"/>
            <w:hideMark/>
          </w:tcPr>
          <w:p w14:paraId="5B93E745" w14:textId="77777777" w:rsidR="003D2473" w:rsidRPr="00D71342" w:rsidRDefault="003D2473" w:rsidP="003D2473">
            <w:pPr>
              <w:jc w:val="center"/>
              <w:rPr>
                <w:b/>
                <w:bCs/>
                <w:sz w:val="14"/>
                <w:szCs w:val="14"/>
                <w:lang w:eastAsia="es-CO"/>
              </w:rPr>
            </w:pPr>
            <w:r w:rsidRPr="00D71342">
              <w:rPr>
                <w:b/>
                <w:bCs/>
                <w:sz w:val="14"/>
                <w:szCs w:val="14"/>
                <w:lang w:eastAsia="es-CO"/>
              </w:rPr>
              <w:t>Organizacional</w:t>
            </w:r>
          </w:p>
        </w:tc>
        <w:tc>
          <w:tcPr>
            <w:tcW w:w="1360" w:type="dxa"/>
            <w:tcBorders>
              <w:top w:val="single" w:sz="4" w:space="0" w:color="auto"/>
              <w:left w:val="nil"/>
              <w:bottom w:val="nil"/>
              <w:right w:val="nil"/>
            </w:tcBorders>
            <w:shd w:val="clear" w:color="000000" w:fill="BFBFBF"/>
            <w:vAlign w:val="center"/>
            <w:hideMark/>
          </w:tcPr>
          <w:p w14:paraId="541C2BA4" w14:textId="77777777" w:rsidR="003D2473" w:rsidRPr="00D71342" w:rsidRDefault="003D2473" w:rsidP="003D1399">
            <w:pPr>
              <w:rPr>
                <w:sz w:val="14"/>
                <w:szCs w:val="14"/>
                <w:lang w:eastAsia="es-CO"/>
              </w:rPr>
            </w:pPr>
            <w:r w:rsidRPr="00D71342">
              <w:rPr>
                <w:sz w:val="14"/>
                <w:szCs w:val="14"/>
                <w:lang w:eastAsia="es-CO"/>
              </w:rPr>
              <w:t>Innovación verde</w:t>
            </w:r>
          </w:p>
        </w:tc>
        <w:tc>
          <w:tcPr>
            <w:tcW w:w="5216" w:type="dxa"/>
            <w:tcBorders>
              <w:top w:val="single" w:sz="4" w:space="0" w:color="auto"/>
              <w:left w:val="nil"/>
              <w:bottom w:val="nil"/>
              <w:right w:val="nil"/>
            </w:tcBorders>
            <w:shd w:val="clear" w:color="000000" w:fill="BFBFBF"/>
            <w:vAlign w:val="center"/>
            <w:hideMark/>
          </w:tcPr>
          <w:p w14:paraId="57C309CB" w14:textId="77777777" w:rsidR="003D2473" w:rsidRPr="00D71342" w:rsidRDefault="003D2473" w:rsidP="003D1399">
            <w:pPr>
              <w:rPr>
                <w:sz w:val="14"/>
                <w:szCs w:val="14"/>
                <w:lang w:eastAsia="es-CO"/>
              </w:rPr>
            </w:pPr>
            <w:r w:rsidRPr="00D71342">
              <w:rPr>
                <w:sz w:val="14"/>
                <w:szCs w:val="14"/>
                <w:lang w:eastAsia="es-CO"/>
              </w:rPr>
              <w:t>Se enfoca en el desarrollo de nuevos productos, procesos o servicios que minimizan el uso de energía y la huella ecológica, como el uso de materiales biodegradables y tecnologías limpias.</w:t>
            </w:r>
          </w:p>
        </w:tc>
        <w:tc>
          <w:tcPr>
            <w:tcW w:w="1984" w:type="dxa"/>
            <w:tcBorders>
              <w:top w:val="single" w:sz="4" w:space="0" w:color="auto"/>
              <w:left w:val="nil"/>
              <w:bottom w:val="nil"/>
              <w:right w:val="nil"/>
            </w:tcBorders>
            <w:shd w:val="clear" w:color="000000" w:fill="BFBFBF"/>
            <w:vAlign w:val="center"/>
            <w:hideMark/>
          </w:tcPr>
          <w:p w14:paraId="705B9B11" w14:textId="77777777" w:rsidR="003D2473" w:rsidRPr="00D71342" w:rsidRDefault="003D2473" w:rsidP="003D1399">
            <w:pPr>
              <w:rPr>
                <w:sz w:val="14"/>
                <w:szCs w:val="14"/>
                <w:lang w:eastAsia="es-CO"/>
              </w:rPr>
            </w:pPr>
            <w:r w:rsidRPr="00D71342">
              <w:rPr>
                <w:sz w:val="14"/>
                <w:szCs w:val="14"/>
                <w:lang w:val="en-US" w:eastAsia="es-CO"/>
              </w:rPr>
              <w:t>Hermawan et al. (2025)</w:t>
            </w:r>
            <w:r w:rsidRPr="00D71342">
              <w:rPr>
                <w:sz w:val="14"/>
                <w:szCs w:val="14"/>
                <w:lang w:val="en-US" w:eastAsia="es-CO"/>
              </w:rPr>
              <w:br/>
              <w:t xml:space="preserve">Hossain et al. </w:t>
            </w:r>
            <w:r w:rsidRPr="00D71342">
              <w:rPr>
                <w:sz w:val="14"/>
                <w:szCs w:val="14"/>
                <w:lang w:eastAsia="es-CO"/>
              </w:rPr>
              <w:t>(2024)</w:t>
            </w:r>
          </w:p>
        </w:tc>
      </w:tr>
      <w:tr w:rsidR="00D71342" w:rsidRPr="00D71342" w14:paraId="6062419C" w14:textId="77777777" w:rsidTr="003D2473">
        <w:trPr>
          <w:trHeight w:val="56"/>
        </w:trPr>
        <w:tc>
          <w:tcPr>
            <w:tcW w:w="1362" w:type="dxa"/>
            <w:vMerge/>
            <w:tcBorders>
              <w:left w:val="nil"/>
              <w:right w:val="nil"/>
            </w:tcBorders>
            <w:vAlign w:val="center"/>
            <w:hideMark/>
          </w:tcPr>
          <w:p w14:paraId="3B721ABE" w14:textId="77777777" w:rsidR="003D2473" w:rsidRPr="00D71342" w:rsidRDefault="003D2473" w:rsidP="003D2473">
            <w:pPr>
              <w:jc w:val="center"/>
              <w:rPr>
                <w:b/>
                <w:bCs/>
                <w:sz w:val="14"/>
                <w:szCs w:val="14"/>
                <w:lang w:eastAsia="es-CO"/>
              </w:rPr>
            </w:pPr>
          </w:p>
        </w:tc>
        <w:tc>
          <w:tcPr>
            <w:tcW w:w="1360" w:type="dxa"/>
            <w:tcBorders>
              <w:top w:val="nil"/>
              <w:left w:val="nil"/>
              <w:bottom w:val="nil"/>
              <w:right w:val="nil"/>
            </w:tcBorders>
            <w:vAlign w:val="center"/>
            <w:hideMark/>
          </w:tcPr>
          <w:p w14:paraId="2378CCE2" w14:textId="77777777" w:rsidR="003D2473" w:rsidRPr="00D71342" w:rsidRDefault="003D2473" w:rsidP="003D1399">
            <w:pPr>
              <w:rPr>
                <w:sz w:val="14"/>
                <w:szCs w:val="14"/>
                <w:lang w:eastAsia="es-CO"/>
              </w:rPr>
            </w:pPr>
            <w:r w:rsidRPr="00D71342">
              <w:rPr>
                <w:sz w:val="14"/>
                <w:szCs w:val="14"/>
                <w:lang w:eastAsia="es-CO"/>
              </w:rPr>
              <w:t>Proactividad verde</w:t>
            </w:r>
          </w:p>
        </w:tc>
        <w:tc>
          <w:tcPr>
            <w:tcW w:w="5216" w:type="dxa"/>
            <w:tcBorders>
              <w:top w:val="nil"/>
              <w:left w:val="nil"/>
              <w:bottom w:val="nil"/>
              <w:right w:val="nil"/>
            </w:tcBorders>
            <w:vAlign w:val="center"/>
            <w:hideMark/>
          </w:tcPr>
          <w:p w14:paraId="6C58B61E" w14:textId="77777777" w:rsidR="003D2473" w:rsidRPr="00D71342" w:rsidRDefault="003D2473" w:rsidP="003D1399">
            <w:pPr>
              <w:rPr>
                <w:sz w:val="14"/>
                <w:szCs w:val="14"/>
                <w:lang w:eastAsia="es-CO"/>
              </w:rPr>
            </w:pPr>
            <w:r w:rsidRPr="00D71342">
              <w:rPr>
                <w:sz w:val="14"/>
                <w:szCs w:val="14"/>
                <w:lang w:eastAsia="es-CO"/>
              </w:rPr>
              <w:t>Es la postura de la empresa para anticiparse a los competidores y a las regulaciones, introduciendo tempranamente soluciones ecológicas para ganar la "ventaja del pionero".</w:t>
            </w:r>
          </w:p>
        </w:tc>
        <w:tc>
          <w:tcPr>
            <w:tcW w:w="1984" w:type="dxa"/>
            <w:tcBorders>
              <w:top w:val="nil"/>
              <w:left w:val="nil"/>
              <w:bottom w:val="nil"/>
              <w:right w:val="nil"/>
            </w:tcBorders>
            <w:vAlign w:val="center"/>
            <w:hideMark/>
          </w:tcPr>
          <w:p w14:paraId="224F89B2" w14:textId="77777777" w:rsidR="003D2473" w:rsidRPr="00D71342" w:rsidRDefault="003D2473" w:rsidP="003D1399">
            <w:pPr>
              <w:rPr>
                <w:sz w:val="14"/>
                <w:szCs w:val="14"/>
                <w:lang w:eastAsia="es-CO"/>
              </w:rPr>
            </w:pPr>
            <w:r w:rsidRPr="00D71342">
              <w:rPr>
                <w:sz w:val="14"/>
                <w:szCs w:val="14"/>
                <w:lang w:eastAsia="es-CO"/>
              </w:rPr>
              <w:t>Baquero (2024b)</w:t>
            </w:r>
            <w:r w:rsidRPr="00D71342">
              <w:rPr>
                <w:sz w:val="14"/>
                <w:szCs w:val="14"/>
                <w:lang w:eastAsia="es-CO"/>
              </w:rPr>
              <w:br/>
              <w:t>Y. Le y Zhang (2024)</w:t>
            </w:r>
          </w:p>
        </w:tc>
      </w:tr>
      <w:tr w:rsidR="00D71342" w:rsidRPr="00D71342" w14:paraId="05C217C9" w14:textId="77777777" w:rsidTr="003D2473">
        <w:trPr>
          <w:trHeight w:val="56"/>
        </w:trPr>
        <w:tc>
          <w:tcPr>
            <w:tcW w:w="1362" w:type="dxa"/>
            <w:vMerge/>
            <w:tcBorders>
              <w:left w:val="nil"/>
              <w:right w:val="nil"/>
            </w:tcBorders>
            <w:vAlign w:val="center"/>
            <w:hideMark/>
          </w:tcPr>
          <w:p w14:paraId="347BF69B" w14:textId="77777777" w:rsidR="003D2473" w:rsidRPr="00D71342" w:rsidRDefault="003D2473" w:rsidP="003D2473">
            <w:pPr>
              <w:jc w:val="center"/>
              <w:rPr>
                <w:b/>
                <w:bCs/>
                <w:sz w:val="14"/>
                <w:szCs w:val="14"/>
                <w:lang w:eastAsia="es-CO"/>
              </w:rPr>
            </w:pPr>
          </w:p>
        </w:tc>
        <w:tc>
          <w:tcPr>
            <w:tcW w:w="1360" w:type="dxa"/>
            <w:tcBorders>
              <w:top w:val="nil"/>
              <w:left w:val="nil"/>
              <w:right w:val="nil"/>
            </w:tcBorders>
            <w:shd w:val="clear" w:color="000000" w:fill="BFBFBF"/>
            <w:vAlign w:val="center"/>
            <w:hideMark/>
          </w:tcPr>
          <w:p w14:paraId="12B07898" w14:textId="77777777" w:rsidR="003D2473" w:rsidRPr="00D71342" w:rsidRDefault="003D2473" w:rsidP="003D1399">
            <w:pPr>
              <w:rPr>
                <w:sz w:val="14"/>
                <w:szCs w:val="14"/>
                <w:lang w:eastAsia="es-CO"/>
              </w:rPr>
            </w:pPr>
            <w:r w:rsidRPr="00D71342">
              <w:rPr>
                <w:sz w:val="14"/>
                <w:szCs w:val="14"/>
                <w:lang w:eastAsia="es-CO"/>
              </w:rPr>
              <w:t>Riesgos verdes</w:t>
            </w:r>
          </w:p>
        </w:tc>
        <w:tc>
          <w:tcPr>
            <w:tcW w:w="5216" w:type="dxa"/>
            <w:tcBorders>
              <w:top w:val="nil"/>
              <w:left w:val="nil"/>
              <w:right w:val="nil"/>
            </w:tcBorders>
            <w:shd w:val="clear" w:color="000000" w:fill="BFBFBF"/>
            <w:vAlign w:val="center"/>
            <w:hideMark/>
          </w:tcPr>
          <w:p w14:paraId="170F225B" w14:textId="77777777" w:rsidR="003D2473" w:rsidRPr="00D71342" w:rsidRDefault="003D2473" w:rsidP="003D1399">
            <w:pPr>
              <w:rPr>
                <w:sz w:val="14"/>
                <w:szCs w:val="14"/>
                <w:lang w:eastAsia="es-CO"/>
              </w:rPr>
            </w:pPr>
            <w:r w:rsidRPr="00D71342">
              <w:rPr>
                <w:sz w:val="14"/>
                <w:szCs w:val="14"/>
                <w:lang w:eastAsia="es-CO"/>
              </w:rPr>
              <w:t>Implica la disposición de la organización para invertir cantidades significativas de recursos en proyectos ecológicos bajo entornos de alta incertidumbre y retornos impredecibles.</w:t>
            </w:r>
          </w:p>
        </w:tc>
        <w:tc>
          <w:tcPr>
            <w:tcW w:w="1984" w:type="dxa"/>
            <w:tcBorders>
              <w:top w:val="nil"/>
              <w:left w:val="nil"/>
              <w:right w:val="nil"/>
            </w:tcBorders>
            <w:shd w:val="clear" w:color="000000" w:fill="BFBFBF"/>
            <w:vAlign w:val="center"/>
            <w:hideMark/>
          </w:tcPr>
          <w:p w14:paraId="3AA5CD4F" w14:textId="77777777" w:rsidR="003D2473" w:rsidRPr="00D71342" w:rsidRDefault="003D2473" w:rsidP="003D1399">
            <w:pPr>
              <w:rPr>
                <w:sz w:val="14"/>
                <w:szCs w:val="14"/>
                <w:lang w:eastAsia="es-CO"/>
              </w:rPr>
            </w:pPr>
            <w:r w:rsidRPr="00D71342">
              <w:rPr>
                <w:sz w:val="14"/>
                <w:szCs w:val="14"/>
                <w:lang w:eastAsia="es-CO"/>
              </w:rPr>
              <w:t>Hermawan et al. (2025)</w:t>
            </w:r>
            <w:r w:rsidRPr="00D71342">
              <w:rPr>
                <w:sz w:val="14"/>
                <w:szCs w:val="14"/>
                <w:lang w:eastAsia="es-CO"/>
              </w:rPr>
              <w:br/>
              <w:t>Tuncer y Korchagina (2024)</w:t>
            </w:r>
            <w:r w:rsidRPr="00D71342">
              <w:rPr>
                <w:sz w:val="14"/>
                <w:szCs w:val="14"/>
                <w:lang w:eastAsia="es-CO"/>
              </w:rPr>
              <w:br/>
              <w:t>Y. Le y Zhang (2024)</w:t>
            </w:r>
          </w:p>
        </w:tc>
      </w:tr>
      <w:tr w:rsidR="00D71342" w:rsidRPr="00D71342" w14:paraId="0B30493D" w14:textId="77777777" w:rsidTr="003D2473">
        <w:trPr>
          <w:trHeight w:val="56"/>
        </w:trPr>
        <w:tc>
          <w:tcPr>
            <w:tcW w:w="1362" w:type="dxa"/>
            <w:vMerge/>
            <w:tcBorders>
              <w:left w:val="nil"/>
              <w:right w:val="nil"/>
            </w:tcBorders>
            <w:vAlign w:val="center"/>
            <w:hideMark/>
          </w:tcPr>
          <w:p w14:paraId="02172376" w14:textId="77777777" w:rsidR="003D2473" w:rsidRPr="00D71342" w:rsidRDefault="003D2473" w:rsidP="003D2473">
            <w:pPr>
              <w:jc w:val="center"/>
              <w:rPr>
                <w:b/>
                <w:bCs/>
                <w:sz w:val="14"/>
                <w:szCs w:val="14"/>
                <w:lang w:eastAsia="es-CO"/>
              </w:rPr>
            </w:pPr>
          </w:p>
        </w:tc>
        <w:tc>
          <w:tcPr>
            <w:tcW w:w="1360" w:type="dxa"/>
            <w:tcBorders>
              <w:top w:val="nil"/>
              <w:left w:val="nil"/>
              <w:bottom w:val="nil"/>
              <w:right w:val="nil"/>
            </w:tcBorders>
            <w:vAlign w:val="center"/>
            <w:hideMark/>
          </w:tcPr>
          <w:p w14:paraId="4CB80423" w14:textId="77777777" w:rsidR="003D2473" w:rsidRPr="00D71342" w:rsidRDefault="003D2473" w:rsidP="003D1399">
            <w:pPr>
              <w:rPr>
                <w:sz w:val="14"/>
                <w:szCs w:val="14"/>
                <w:lang w:eastAsia="es-CO"/>
              </w:rPr>
            </w:pPr>
            <w:r w:rsidRPr="00D71342">
              <w:rPr>
                <w:sz w:val="14"/>
                <w:szCs w:val="14"/>
                <w:lang w:eastAsia="es-CO"/>
              </w:rPr>
              <w:t>Capital intelectual verde</w:t>
            </w:r>
          </w:p>
        </w:tc>
        <w:tc>
          <w:tcPr>
            <w:tcW w:w="5216" w:type="dxa"/>
            <w:tcBorders>
              <w:top w:val="nil"/>
              <w:left w:val="nil"/>
              <w:bottom w:val="nil"/>
              <w:right w:val="nil"/>
            </w:tcBorders>
            <w:vAlign w:val="center"/>
            <w:hideMark/>
          </w:tcPr>
          <w:p w14:paraId="4A839B3E" w14:textId="77777777" w:rsidR="003D2473" w:rsidRPr="00D71342" w:rsidRDefault="003D2473" w:rsidP="003D1399">
            <w:pPr>
              <w:rPr>
                <w:sz w:val="14"/>
                <w:szCs w:val="14"/>
                <w:lang w:eastAsia="es-CO"/>
              </w:rPr>
            </w:pPr>
            <w:r w:rsidRPr="00D71342">
              <w:rPr>
                <w:sz w:val="14"/>
                <w:szCs w:val="14"/>
                <w:lang w:eastAsia="es-CO"/>
              </w:rPr>
              <w:t>Representa el inventario de activos intangibles, como el capital humano verde, el capital estructural y el capital relacional, diseñados para respaldar la ventaja competitiva sostenible.</w:t>
            </w:r>
          </w:p>
        </w:tc>
        <w:tc>
          <w:tcPr>
            <w:tcW w:w="1984" w:type="dxa"/>
            <w:tcBorders>
              <w:top w:val="nil"/>
              <w:left w:val="nil"/>
              <w:bottom w:val="nil"/>
              <w:right w:val="nil"/>
            </w:tcBorders>
            <w:vAlign w:val="center"/>
            <w:hideMark/>
          </w:tcPr>
          <w:p w14:paraId="35E772EA" w14:textId="444BE9C0" w:rsidR="003D2473" w:rsidRPr="00D71342" w:rsidRDefault="003D2473" w:rsidP="003D1399">
            <w:pPr>
              <w:rPr>
                <w:sz w:val="14"/>
                <w:szCs w:val="14"/>
                <w:lang w:eastAsia="es-CO"/>
              </w:rPr>
            </w:pPr>
            <w:r w:rsidRPr="00D71342">
              <w:rPr>
                <w:sz w:val="14"/>
                <w:szCs w:val="14"/>
                <w:lang w:eastAsia="es-CO"/>
              </w:rPr>
              <w:t>Hu y Tresirichod (202</w:t>
            </w:r>
            <w:r w:rsidR="00832FBB" w:rsidRPr="00D71342">
              <w:rPr>
                <w:sz w:val="14"/>
                <w:szCs w:val="14"/>
                <w:lang w:eastAsia="es-CO"/>
              </w:rPr>
              <w:t>5</w:t>
            </w:r>
            <w:r w:rsidRPr="00D71342">
              <w:rPr>
                <w:sz w:val="14"/>
                <w:szCs w:val="14"/>
                <w:lang w:eastAsia="es-CO"/>
              </w:rPr>
              <w:t>)</w:t>
            </w:r>
            <w:r w:rsidRPr="00D71342">
              <w:rPr>
                <w:sz w:val="14"/>
                <w:szCs w:val="14"/>
                <w:lang w:eastAsia="es-CO"/>
              </w:rPr>
              <w:br/>
              <w:t>Zhang et al. (2024)</w:t>
            </w:r>
          </w:p>
        </w:tc>
      </w:tr>
      <w:tr w:rsidR="00D71342" w:rsidRPr="00D71342" w14:paraId="25FD5B67" w14:textId="77777777" w:rsidTr="003D2473">
        <w:trPr>
          <w:trHeight w:val="56"/>
        </w:trPr>
        <w:tc>
          <w:tcPr>
            <w:tcW w:w="1362" w:type="dxa"/>
            <w:vMerge/>
            <w:tcBorders>
              <w:left w:val="nil"/>
              <w:bottom w:val="single" w:sz="4" w:space="0" w:color="000000" w:themeColor="text1"/>
              <w:right w:val="nil"/>
            </w:tcBorders>
            <w:vAlign w:val="center"/>
          </w:tcPr>
          <w:p w14:paraId="56764E8C" w14:textId="77777777" w:rsidR="003D2473" w:rsidRPr="00D71342" w:rsidRDefault="003D2473" w:rsidP="003D2473">
            <w:pPr>
              <w:jc w:val="center"/>
              <w:rPr>
                <w:b/>
                <w:bCs/>
                <w:sz w:val="14"/>
                <w:szCs w:val="14"/>
                <w:lang w:eastAsia="es-CO"/>
              </w:rPr>
            </w:pPr>
          </w:p>
        </w:tc>
        <w:tc>
          <w:tcPr>
            <w:tcW w:w="1360" w:type="dxa"/>
            <w:tcBorders>
              <w:top w:val="nil"/>
              <w:left w:val="nil"/>
              <w:bottom w:val="single" w:sz="4" w:space="0" w:color="000000" w:themeColor="text1"/>
              <w:right w:val="nil"/>
            </w:tcBorders>
            <w:shd w:val="clear" w:color="auto" w:fill="BFBFBF" w:themeFill="background1" w:themeFillShade="BF"/>
            <w:vAlign w:val="center"/>
          </w:tcPr>
          <w:p w14:paraId="13B04334" w14:textId="77777777" w:rsidR="003D2473" w:rsidRPr="00D71342" w:rsidRDefault="003D2473" w:rsidP="003D1399">
            <w:pPr>
              <w:rPr>
                <w:sz w:val="14"/>
                <w:szCs w:val="14"/>
                <w:lang w:eastAsia="es-CO"/>
              </w:rPr>
            </w:pPr>
            <w:r w:rsidRPr="00D71342">
              <w:rPr>
                <w:sz w:val="14"/>
                <w:szCs w:val="14"/>
                <w:lang w:eastAsia="es-CO"/>
              </w:rPr>
              <w:t>Cultura organizacional sostenible</w:t>
            </w:r>
          </w:p>
        </w:tc>
        <w:tc>
          <w:tcPr>
            <w:tcW w:w="5216" w:type="dxa"/>
            <w:tcBorders>
              <w:top w:val="nil"/>
              <w:left w:val="nil"/>
              <w:bottom w:val="single" w:sz="4" w:space="0" w:color="000000" w:themeColor="text1"/>
              <w:right w:val="nil"/>
            </w:tcBorders>
            <w:shd w:val="clear" w:color="auto" w:fill="BFBFBF" w:themeFill="background1" w:themeFillShade="BF"/>
            <w:vAlign w:val="center"/>
          </w:tcPr>
          <w:p w14:paraId="6C0EDC68" w14:textId="77777777" w:rsidR="003D2473" w:rsidRPr="00D71342" w:rsidRDefault="003D2473" w:rsidP="003D1399">
            <w:pPr>
              <w:rPr>
                <w:sz w:val="14"/>
                <w:szCs w:val="14"/>
                <w:lang w:eastAsia="es-CO"/>
              </w:rPr>
            </w:pPr>
            <w:r w:rsidRPr="00D71342">
              <w:rPr>
                <w:sz w:val="14"/>
                <w:szCs w:val="14"/>
                <w:lang w:eastAsia="es-CO"/>
              </w:rPr>
              <w:t xml:space="preserve">Son los valores, normas compartidas y prácticas integradoras de comportamientos proambientales a las consideraciones ecológicas en las políticas, las operaciones cotidianas y en la toma de decisiones de la organización, de los empleados de la empresa. </w:t>
            </w:r>
          </w:p>
        </w:tc>
        <w:tc>
          <w:tcPr>
            <w:tcW w:w="1984" w:type="dxa"/>
            <w:tcBorders>
              <w:top w:val="nil"/>
              <w:left w:val="nil"/>
              <w:bottom w:val="single" w:sz="4" w:space="0" w:color="000000" w:themeColor="text1"/>
              <w:right w:val="nil"/>
            </w:tcBorders>
            <w:shd w:val="clear" w:color="auto" w:fill="BFBFBF" w:themeFill="background1" w:themeFillShade="BF"/>
            <w:vAlign w:val="center"/>
          </w:tcPr>
          <w:p w14:paraId="112A7CAB" w14:textId="77777777" w:rsidR="003D2473" w:rsidRPr="00D71342" w:rsidRDefault="003D2473" w:rsidP="003D1399">
            <w:pPr>
              <w:rPr>
                <w:sz w:val="14"/>
                <w:szCs w:val="14"/>
                <w:lang w:eastAsia="es-CO"/>
              </w:rPr>
            </w:pPr>
            <w:r w:rsidRPr="00D71342">
              <w:rPr>
                <w:sz w:val="14"/>
                <w:szCs w:val="14"/>
                <w:lang w:eastAsia="es-CO"/>
              </w:rPr>
              <w:t>Al-Romeedy y Alharethi (2024)</w:t>
            </w:r>
            <w:r w:rsidRPr="00D71342">
              <w:rPr>
                <w:sz w:val="14"/>
                <w:szCs w:val="14"/>
                <w:lang w:eastAsia="es-CO"/>
              </w:rPr>
              <w:br/>
              <w:t>Iftikar et al. (2022)</w:t>
            </w:r>
          </w:p>
        </w:tc>
      </w:tr>
      <w:tr w:rsidR="00D71342" w:rsidRPr="00D71342" w14:paraId="17C12EE4" w14:textId="77777777" w:rsidTr="003D2473">
        <w:trPr>
          <w:trHeight w:val="46"/>
        </w:trPr>
        <w:tc>
          <w:tcPr>
            <w:tcW w:w="1362" w:type="dxa"/>
            <w:vMerge w:val="restart"/>
            <w:tcBorders>
              <w:top w:val="single" w:sz="4" w:space="0" w:color="000000" w:themeColor="text1"/>
              <w:left w:val="nil"/>
              <w:right w:val="nil"/>
            </w:tcBorders>
            <w:vAlign w:val="center"/>
          </w:tcPr>
          <w:p w14:paraId="03A84980" w14:textId="77777777" w:rsidR="003D2473" w:rsidRPr="00D71342" w:rsidRDefault="003D2473" w:rsidP="003D2473">
            <w:pPr>
              <w:jc w:val="center"/>
              <w:rPr>
                <w:b/>
                <w:bCs/>
                <w:sz w:val="14"/>
                <w:szCs w:val="14"/>
                <w:lang w:eastAsia="es-CO"/>
              </w:rPr>
            </w:pPr>
            <w:r w:rsidRPr="00D71342">
              <w:rPr>
                <w:b/>
                <w:bCs/>
                <w:sz w:val="14"/>
                <w:szCs w:val="14"/>
                <w:lang w:eastAsia="es-CO"/>
              </w:rPr>
              <w:t>Social</w:t>
            </w:r>
          </w:p>
        </w:tc>
        <w:tc>
          <w:tcPr>
            <w:tcW w:w="1360" w:type="dxa"/>
            <w:tcBorders>
              <w:top w:val="single" w:sz="4" w:space="0" w:color="000000" w:themeColor="text1"/>
              <w:left w:val="nil"/>
              <w:bottom w:val="nil"/>
              <w:right w:val="nil"/>
            </w:tcBorders>
            <w:vAlign w:val="center"/>
          </w:tcPr>
          <w:p w14:paraId="6A186720" w14:textId="77777777" w:rsidR="003D2473" w:rsidRPr="00D71342" w:rsidRDefault="003D2473" w:rsidP="003D1399">
            <w:pPr>
              <w:rPr>
                <w:sz w:val="14"/>
                <w:szCs w:val="14"/>
                <w:lang w:eastAsia="es-CO"/>
              </w:rPr>
            </w:pPr>
            <w:r w:rsidRPr="00D71342">
              <w:rPr>
                <w:sz w:val="14"/>
                <w:szCs w:val="14"/>
                <w:lang w:eastAsia="es-CO"/>
              </w:rPr>
              <w:t>Regulación ambiental</w:t>
            </w:r>
          </w:p>
        </w:tc>
        <w:tc>
          <w:tcPr>
            <w:tcW w:w="5216" w:type="dxa"/>
            <w:tcBorders>
              <w:top w:val="single" w:sz="4" w:space="0" w:color="000000" w:themeColor="text1"/>
              <w:left w:val="nil"/>
              <w:bottom w:val="nil"/>
              <w:right w:val="nil"/>
            </w:tcBorders>
            <w:vAlign w:val="center"/>
          </w:tcPr>
          <w:p w14:paraId="4539163C" w14:textId="77777777" w:rsidR="003D2473" w:rsidRPr="00D71342" w:rsidRDefault="003D2473" w:rsidP="003D1399">
            <w:pPr>
              <w:rPr>
                <w:sz w:val="14"/>
                <w:szCs w:val="14"/>
                <w:lang w:eastAsia="es-CO"/>
              </w:rPr>
            </w:pPr>
            <w:r w:rsidRPr="00D71342">
              <w:rPr>
                <w:sz w:val="14"/>
                <w:szCs w:val="14"/>
                <w:lang w:eastAsia="es-CO"/>
              </w:rPr>
              <w:t>Consiste en leyes, políticas y estándares (presión coercitiva) impuestos por las autoridades que obligan a las empresas a mitigar la degradación y adoptar tecnologías limpias.</w:t>
            </w:r>
          </w:p>
        </w:tc>
        <w:tc>
          <w:tcPr>
            <w:tcW w:w="1984" w:type="dxa"/>
            <w:tcBorders>
              <w:top w:val="single" w:sz="4" w:space="0" w:color="000000" w:themeColor="text1"/>
              <w:left w:val="nil"/>
              <w:bottom w:val="nil"/>
              <w:right w:val="nil"/>
            </w:tcBorders>
            <w:vAlign w:val="center"/>
          </w:tcPr>
          <w:p w14:paraId="3A16CCF2" w14:textId="77777777" w:rsidR="003D2473" w:rsidRPr="00D71342" w:rsidRDefault="003D2473" w:rsidP="003D1399">
            <w:pPr>
              <w:rPr>
                <w:sz w:val="14"/>
                <w:szCs w:val="14"/>
                <w:lang w:eastAsia="es-CO"/>
              </w:rPr>
            </w:pPr>
            <w:r w:rsidRPr="00D71342">
              <w:rPr>
                <w:sz w:val="14"/>
                <w:szCs w:val="14"/>
                <w:lang w:eastAsia="es-CO"/>
              </w:rPr>
              <w:t>Gong y Zhuang (2024)</w:t>
            </w:r>
            <w:r w:rsidRPr="00D71342">
              <w:rPr>
                <w:sz w:val="14"/>
                <w:szCs w:val="14"/>
                <w:lang w:eastAsia="es-CO"/>
              </w:rPr>
              <w:br/>
              <w:t>Zheng y Li (2025)</w:t>
            </w:r>
          </w:p>
        </w:tc>
      </w:tr>
      <w:tr w:rsidR="00D71342" w:rsidRPr="00D71342" w14:paraId="01EA4340" w14:textId="77777777" w:rsidTr="003D2473">
        <w:trPr>
          <w:trHeight w:val="56"/>
        </w:trPr>
        <w:tc>
          <w:tcPr>
            <w:tcW w:w="1362" w:type="dxa"/>
            <w:vMerge/>
            <w:tcBorders>
              <w:left w:val="nil"/>
              <w:right w:val="nil"/>
            </w:tcBorders>
            <w:vAlign w:val="center"/>
          </w:tcPr>
          <w:p w14:paraId="6930A589" w14:textId="77777777" w:rsidR="003D2473" w:rsidRPr="00D71342" w:rsidRDefault="003D2473" w:rsidP="003D1399">
            <w:pPr>
              <w:jc w:val="center"/>
              <w:rPr>
                <w:sz w:val="14"/>
                <w:szCs w:val="14"/>
                <w:lang w:eastAsia="es-CO"/>
              </w:rPr>
            </w:pPr>
          </w:p>
        </w:tc>
        <w:tc>
          <w:tcPr>
            <w:tcW w:w="1360" w:type="dxa"/>
            <w:tcBorders>
              <w:top w:val="nil"/>
              <w:left w:val="nil"/>
              <w:bottom w:val="nil"/>
              <w:right w:val="nil"/>
            </w:tcBorders>
            <w:shd w:val="clear" w:color="auto" w:fill="BFBFBF" w:themeFill="background1" w:themeFillShade="BF"/>
            <w:vAlign w:val="center"/>
          </w:tcPr>
          <w:p w14:paraId="0A4B6844" w14:textId="77777777" w:rsidR="003D2473" w:rsidRPr="00D71342" w:rsidRDefault="003D2473" w:rsidP="003D1399">
            <w:pPr>
              <w:rPr>
                <w:sz w:val="14"/>
                <w:szCs w:val="14"/>
                <w:lang w:eastAsia="es-CO"/>
              </w:rPr>
            </w:pPr>
            <w:r w:rsidRPr="00D71342">
              <w:rPr>
                <w:sz w:val="14"/>
                <w:szCs w:val="14"/>
                <w:lang w:eastAsia="es-CO"/>
              </w:rPr>
              <w:t>Apoyo gubernamental</w:t>
            </w:r>
          </w:p>
        </w:tc>
        <w:tc>
          <w:tcPr>
            <w:tcW w:w="5216" w:type="dxa"/>
            <w:tcBorders>
              <w:top w:val="nil"/>
              <w:left w:val="nil"/>
              <w:bottom w:val="nil"/>
              <w:right w:val="nil"/>
            </w:tcBorders>
            <w:shd w:val="clear" w:color="auto" w:fill="BFBFBF" w:themeFill="background1" w:themeFillShade="BF"/>
            <w:vAlign w:val="center"/>
          </w:tcPr>
          <w:p w14:paraId="09EBB6F9" w14:textId="77777777" w:rsidR="003D2473" w:rsidRPr="00D71342" w:rsidRDefault="003D2473" w:rsidP="003D1399">
            <w:pPr>
              <w:rPr>
                <w:sz w:val="14"/>
                <w:szCs w:val="14"/>
                <w:lang w:eastAsia="es-CO"/>
              </w:rPr>
            </w:pPr>
            <w:r w:rsidRPr="00D71342">
              <w:rPr>
                <w:sz w:val="14"/>
                <w:szCs w:val="14"/>
                <w:lang w:eastAsia="es-CO"/>
              </w:rPr>
              <w:t>Incluye incentivos como subsidios financieros, exenciones fiscales y acceso a créditos que reducen los altos costos iniciales de los proyectos empresariales verdes.</w:t>
            </w:r>
          </w:p>
        </w:tc>
        <w:tc>
          <w:tcPr>
            <w:tcW w:w="1984" w:type="dxa"/>
            <w:tcBorders>
              <w:top w:val="nil"/>
              <w:left w:val="nil"/>
              <w:bottom w:val="nil"/>
              <w:right w:val="nil"/>
            </w:tcBorders>
            <w:shd w:val="clear" w:color="auto" w:fill="BFBFBF" w:themeFill="background1" w:themeFillShade="BF"/>
            <w:vAlign w:val="center"/>
          </w:tcPr>
          <w:p w14:paraId="32D71FC3" w14:textId="77777777" w:rsidR="003D2473" w:rsidRPr="00D71342" w:rsidRDefault="003D2473" w:rsidP="003D1399">
            <w:pPr>
              <w:rPr>
                <w:sz w:val="14"/>
                <w:szCs w:val="14"/>
                <w:lang w:eastAsia="es-CO"/>
              </w:rPr>
            </w:pPr>
            <w:r w:rsidRPr="00D71342">
              <w:rPr>
                <w:sz w:val="14"/>
                <w:szCs w:val="14"/>
                <w:lang w:val="en-US" w:eastAsia="es-CO"/>
              </w:rPr>
              <w:t>Gong y Zhuang (2024)</w:t>
            </w:r>
            <w:r w:rsidRPr="00D71342">
              <w:rPr>
                <w:sz w:val="14"/>
                <w:szCs w:val="14"/>
                <w:lang w:val="en-US" w:eastAsia="es-CO"/>
              </w:rPr>
              <w:br/>
              <w:t>Neumann (2022)</w:t>
            </w:r>
            <w:r w:rsidRPr="00D71342">
              <w:rPr>
                <w:sz w:val="14"/>
                <w:szCs w:val="14"/>
                <w:lang w:val="en-US" w:eastAsia="es-CO"/>
              </w:rPr>
              <w:br/>
              <w:t xml:space="preserve">Yang et al. </w:t>
            </w:r>
            <w:r w:rsidRPr="00D71342">
              <w:rPr>
                <w:sz w:val="14"/>
                <w:szCs w:val="14"/>
                <w:lang w:eastAsia="es-CO"/>
              </w:rPr>
              <w:t>(2021)</w:t>
            </w:r>
          </w:p>
        </w:tc>
      </w:tr>
      <w:tr w:rsidR="00D71342" w:rsidRPr="00D71342" w14:paraId="50A9C08A" w14:textId="77777777" w:rsidTr="003D2473">
        <w:trPr>
          <w:trHeight w:val="56"/>
        </w:trPr>
        <w:tc>
          <w:tcPr>
            <w:tcW w:w="1362" w:type="dxa"/>
            <w:vMerge/>
            <w:tcBorders>
              <w:left w:val="nil"/>
              <w:right w:val="nil"/>
            </w:tcBorders>
            <w:vAlign w:val="center"/>
          </w:tcPr>
          <w:p w14:paraId="1322A5B3" w14:textId="77777777" w:rsidR="003D2473" w:rsidRPr="00D71342" w:rsidRDefault="003D2473" w:rsidP="003D1399">
            <w:pPr>
              <w:jc w:val="center"/>
              <w:rPr>
                <w:sz w:val="14"/>
                <w:szCs w:val="14"/>
                <w:lang w:eastAsia="es-CO"/>
              </w:rPr>
            </w:pPr>
          </w:p>
        </w:tc>
        <w:tc>
          <w:tcPr>
            <w:tcW w:w="1360" w:type="dxa"/>
            <w:tcBorders>
              <w:top w:val="nil"/>
              <w:left w:val="nil"/>
              <w:bottom w:val="nil"/>
              <w:right w:val="nil"/>
            </w:tcBorders>
            <w:vAlign w:val="center"/>
          </w:tcPr>
          <w:p w14:paraId="333B8764" w14:textId="77777777" w:rsidR="003D2473" w:rsidRPr="00D71342" w:rsidRDefault="003D2473" w:rsidP="003D1399">
            <w:pPr>
              <w:rPr>
                <w:sz w:val="14"/>
                <w:szCs w:val="14"/>
                <w:lang w:eastAsia="es-CO"/>
              </w:rPr>
            </w:pPr>
            <w:r w:rsidRPr="00D71342">
              <w:rPr>
                <w:sz w:val="14"/>
                <w:szCs w:val="14"/>
                <w:lang w:eastAsia="es-CO"/>
              </w:rPr>
              <w:t>Presión del mercado</w:t>
            </w:r>
          </w:p>
        </w:tc>
        <w:tc>
          <w:tcPr>
            <w:tcW w:w="5216" w:type="dxa"/>
            <w:tcBorders>
              <w:top w:val="nil"/>
              <w:left w:val="nil"/>
              <w:bottom w:val="nil"/>
              <w:right w:val="nil"/>
            </w:tcBorders>
            <w:vAlign w:val="center"/>
          </w:tcPr>
          <w:p w14:paraId="0DC5DD20" w14:textId="77777777" w:rsidR="003D2473" w:rsidRPr="00D71342" w:rsidRDefault="003D2473" w:rsidP="003D1399">
            <w:pPr>
              <w:rPr>
                <w:sz w:val="14"/>
                <w:szCs w:val="14"/>
                <w:lang w:eastAsia="es-CO"/>
              </w:rPr>
            </w:pPr>
            <w:r w:rsidRPr="00D71342">
              <w:rPr>
                <w:sz w:val="14"/>
                <w:szCs w:val="14"/>
                <w:lang w:eastAsia="es-CO"/>
              </w:rPr>
              <w:t>Presiones normativas y miméticas derivadas de las expectativas de los grupos de interés (ONG, inversores) y la competencia, que impulsan a la empresa a adoptar prácticas responsables.</w:t>
            </w:r>
          </w:p>
        </w:tc>
        <w:tc>
          <w:tcPr>
            <w:tcW w:w="1984" w:type="dxa"/>
            <w:tcBorders>
              <w:top w:val="nil"/>
              <w:left w:val="nil"/>
              <w:bottom w:val="nil"/>
              <w:right w:val="nil"/>
            </w:tcBorders>
            <w:vAlign w:val="center"/>
          </w:tcPr>
          <w:p w14:paraId="7AC0C746" w14:textId="77777777" w:rsidR="003D2473" w:rsidRPr="00D71342" w:rsidRDefault="003D2473" w:rsidP="003D1399">
            <w:pPr>
              <w:rPr>
                <w:sz w:val="14"/>
                <w:szCs w:val="14"/>
                <w:lang w:eastAsia="es-CO"/>
              </w:rPr>
            </w:pPr>
            <w:r w:rsidRPr="00D71342">
              <w:rPr>
                <w:sz w:val="14"/>
                <w:szCs w:val="14"/>
                <w:lang w:eastAsia="es-CO"/>
              </w:rPr>
              <w:t>Makhloufi et al. (2021)</w:t>
            </w:r>
          </w:p>
        </w:tc>
      </w:tr>
      <w:tr w:rsidR="00D71342" w:rsidRPr="00D71342" w14:paraId="357A4875" w14:textId="77777777" w:rsidTr="003D2473">
        <w:trPr>
          <w:trHeight w:val="56"/>
        </w:trPr>
        <w:tc>
          <w:tcPr>
            <w:tcW w:w="1362" w:type="dxa"/>
            <w:vMerge/>
            <w:tcBorders>
              <w:left w:val="nil"/>
              <w:bottom w:val="single" w:sz="4" w:space="0" w:color="auto"/>
              <w:right w:val="nil"/>
            </w:tcBorders>
            <w:vAlign w:val="center"/>
          </w:tcPr>
          <w:p w14:paraId="1B4C4E91" w14:textId="77777777" w:rsidR="003D2473" w:rsidRPr="00D71342" w:rsidRDefault="003D2473" w:rsidP="003D1399">
            <w:pPr>
              <w:jc w:val="center"/>
              <w:rPr>
                <w:sz w:val="14"/>
                <w:szCs w:val="14"/>
                <w:lang w:eastAsia="es-CO"/>
              </w:rPr>
            </w:pPr>
          </w:p>
        </w:tc>
        <w:tc>
          <w:tcPr>
            <w:tcW w:w="1360" w:type="dxa"/>
            <w:tcBorders>
              <w:top w:val="nil"/>
              <w:left w:val="nil"/>
              <w:bottom w:val="single" w:sz="4" w:space="0" w:color="auto"/>
              <w:right w:val="nil"/>
            </w:tcBorders>
            <w:shd w:val="clear" w:color="auto" w:fill="BFBFBF" w:themeFill="background1" w:themeFillShade="BF"/>
            <w:vAlign w:val="center"/>
          </w:tcPr>
          <w:p w14:paraId="596EE1BF" w14:textId="77777777" w:rsidR="003D2473" w:rsidRPr="00D71342" w:rsidRDefault="003D2473" w:rsidP="003D1399">
            <w:pPr>
              <w:rPr>
                <w:sz w:val="14"/>
                <w:szCs w:val="14"/>
                <w:lang w:eastAsia="es-CO"/>
              </w:rPr>
            </w:pPr>
            <w:r w:rsidRPr="00D71342">
              <w:rPr>
                <w:sz w:val="14"/>
                <w:szCs w:val="14"/>
                <w:lang w:eastAsia="es-CO"/>
              </w:rPr>
              <w:t>Demanda de los consumidores</w:t>
            </w:r>
          </w:p>
        </w:tc>
        <w:tc>
          <w:tcPr>
            <w:tcW w:w="5216" w:type="dxa"/>
            <w:tcBorders>
              <w:top w:val="nil"/>
              <w:left w:val="nil"/>
              <w:bottom w:val="single" w:sz="4" w:space="0" w:color="auto"/>
              <w:right w:val="nil"/>
            </w:tcBorders>
            <w:shd w:val="clear" w:color="auto" w:fill="BFBFBF" w:themeFill="background1" w:themeFillShade="BF"/>
            <w:vAlign w:val="center"/>
          </w:tcPr>
          <w:p w14:paraId="0DD74AC2" w14:textId="77777777" w:rsidR="003D2473" w:rsidRPr="00D71342" w:rsidRDefault="003D2473" w:rsidP="003D1399">
            <w:pPr>
              <w:rPr>
                <w:sz w:val="14"/>
                <w:szCs w:val="14"/>
                <w:lang w:eastAsia="es-CO"/>
              </w:rPr>
            </w:pPr>
            <w:r w:rsidRPr="00D71342">
              <w:rPr>
                <w:sz w:val="14"/>
                <w:szCs w:val="14"/>
                <w:lang w:eastAsia="es-CO"/>
              </w:rPr>
              <w:t>El aumento de la conciencia pública genera un segmento de consumidores dispuestos a pagar un precio superior por productos ecológicos, creando nichos rentables.</w:t>
            </w:r>
          </w:p>
        </w:tc>
        <w:tc>
          <w:tcPr>
            <w:tcW w:w="1984" w:type="dxa"/>
            <w:tcBorders>
              <w:top w:val="nil"/>
              <w:left w:val="nil"/>
              <w:bottom w:val="single" w:sz="4" w:space="0" w:color="auto"/>
              <w:right w:val="nil"/>
            </w:tcBorders>
            <w:shd w:val="clear" w:color="auto" w:fill="BFBFBF" w:themeFill="background1" w:themeFillShade="BF"/>
            <w:vAlign w:val="center"/>
          </w:tcPr>
          <w:p w14:paraId="175BBD4F" w14:textId="27B1EF95" w:rsidR="003D2473" w:rsidRPr="00D71342" w:rsidRDefault="003D2473" w:rsidP="003D1399">
            <w:pPr>
              <w:rPr>
                <w:sz w:val="14"/>
                <w:szCs w:val="14"/>
                <w:lang w:eastAsia="es-CO"/>
              </w:rPr>
            </w:pPr>
            <w:r w:rsidRPr="00D71342">
              <w:rPr>
                <w:sz w:val="14"/>
                <w:szCs w:val="14"/>
                <w:lang w:eastAsia="es-CO"/>
              </w:rPr>
              <w:t>Hu y Tresirichod (202</w:t>
            </w:r>
            <w:r w:rsidR="00832FBB" w:rsidRPr="00D71342">
              <w:rPr>
                <w:sz w:val="14"/>
                <w:szCs w:val="14"/>
                <w:lang w:eastAsia="es-CO"/>
              </w:rPr>
              <w:t>5</w:t>
            </w:r>
            <w:r w:rsidRPr="00D71342">
              <w:rPr>
                <w:sz w:val="14"/>
                <w:szCs w:val="14"/>
                <w:lang w:eastAsia="es-CO"/>
              </w:rPr>
              <w:t>)</w:t>
            </w:r>
            <w:r w:rsidRPr="00D71342">
              <w:rPr>
                <w:sz w:val="14"/>
                <w:szCs w:val="14"/>
                <w:lang w:eastAsia="es-CO"/>
              </w:rPr>
              <w:br/>
              <w:t>Y. Le y Zhang (2024)</w:t>
            </w:r>
          </w:p>
        </w:tc>
      </w:tr>
    </w:tbl>
    <w:p w14:paraId="12BBA02D" w14:textId="1CA23C9F" w:rsidR="00813F12" w:rsidRPr="00D71342" w:rsidRDefault="00813F12" w:rsidP="003D2473">
      <w:pPr>
        <w:ind w:left="426" w:right="670"/>
        <w:rPr>
          <w:sz w:val="14"/>
          <w:szCs w:val="18"/>
          <w:lang w:val="es-CO"/>
        </w:rPr>
      </w:pPr>
      <w:r w:rsidRPr="00D71342">
        <w:rPr>
          <w:sz w:val="14"/>
          <w:szCs w:val="18"/>
          <w:lang w:val="es-CO"/>
        </w:rPr>
        <w:t>Fuente: Elaboración propia.</w:t>
      </w:r>
    </w:p>
    <w:p w14:paraId="16FC60F4" w14:textId="4F88F51E" w:rsidR="003D2473" w:rsidRPr="00D71342" w:rsidRDefault="003D2473" w:rsidP="00813F12">
      <w:pPr>
        <w:ind w:right="670"/>
        <w:rPr>
          <w:sz w:val="14"/>
          <w:szCs w:val="18"/>
          <w:lang w:val="es-CO"/>
        </w:rPr>
      </w:pPr>
    </w:p>
    <w:p w14:paraId="54306F2B" w14:textId="79B8D7FF" w:rsidR="003D2473" w:rsidRPr="00D71342" w:rsidRDefault="003D2473" w:rsidP="00813F12">
      <w:pPr>
        <w:ind w:right="670"/>
        <w:rPr>
          <w:sz w:val="14"/>
          <w:szCs w:val="18"/>
          <w:lang w:val="es-CO"/>
        </w:rPr>
      </w:pPr>
      <w:r w:rsidRPr="00D71342">
        <w:rPr>
          <w:sz w:val="14"/>
          <w:szCs w:val="18"/>
          <w:lang w:val="es-CO"/>
        </w:rPr>
        <w:br w:type="page"/>
      </w:r>
    </w:p>
    <w:p w14:paraId="04E1FE93" w14:textId="416EFE82" w:rsidR="003D2473" w:rsidRPr="00D71342" w:rsidRDefault="003D2473" w:rsidP="003D2473">
      <w:pPr>
        <w:pStyle w:val="Ttulo3"/>
        <w:spacing w:before="240" w:after="240"/>
        <w:ind w:left="426" w:right="670"/>
        <w:jc w:val="center"/>
        <w:sectPr w:rsidR="003D2473" w:rsidRPr="00D71342" w:rsidSect="003A6A51">
          <w:type w:val="continuous"/>
          <w:pgSz w:w="12240" w:h="15840"/>
          <w:pgMar w:top="1000" w:right="360" w:bottom="1200" w:left="720" w:header="0" w:footer="1000" w:gutter="0"/>
          <w:cols w:space="71"/>
        </w:sectPr>
      </w:pPr>
      <w:r w:rsidRPr="00D71342">
        <w:rPr>
          <w:spacing w:val="-6"/>
        </w:rPr>
        <w:lastRenderedPageBreak/>
        <w:t>Tabla 8. Cuadro resumen de los factores que promueven el emprendimiento verde</w:t>
      </w:r>
    </w:p>
    <w:tbl>
      <w:tblPr>
        <w:tblW w:w="9922" w:type="dxa"/>
        <w:tblInd w:w="496" w:type="dxa"/>
        <w:tblCellMar>
          <w:left w:w="70" w:type="dxa"/>
          <w:right w:w="70" w:type="dxa"/>
        </w:tblCellMar>
        <w:tblLook w:val="04A0" w:firstRow="1" w:lastRow="0" w:firstColumn="1" w:lastColumn="0" w:noHBand="0" w:noVBand="1"/>
      </w:tblPr>
      <w:tblGrid>
        <w:gridCol w:w="1129"/>
        <w:gridCol w:w="1495"/>
        <w:gridCol w:w="4747"/>
        <w:gridCol w:w="2551"/>
      </w:tblGrid>
      <w:tr w:rsidR="00D71342" w:rsidRPr="00D71342" w14:paraId="19C8322B" w14:textId="77777777" w:rsidTr="001D0079">
        <w:trPr>
          <w:trHeight w:val="162"/>
        </w:trPr>
        <w:tc>
          <w:tcPr>
            <w:tcW w:w="1129" w:type="dxa"/>
            <w:tcBorders>
              <w:top w:val="single" w:sz="4" w:space="0" w:color="auto"/>
              <w:left w:val="nil"/>
              <w:bottom w:val="nil"/>
              <w:right w:val="nil"/>
            </w:tcBorders>
            <w:vAlign w:val="center"/>
            <w:hideMark/>
          </w:tcPr>
          <w:p w14:paraId="4CC9315F" w14:textId="77777777" w:rsidR="001D0079" w:rsidRPr="00D71342" w:rsidRDefault="001D0079" w:rsidP="003D1399">
            <w:pPr>
              <w:jc w:val="center"/>
              <w:rPr>
                <w:b/>
                <w:bCs/>
                <w:sz w:val="14"/>
                <w:szCs w:val="14"/>
                <w:lang w:eastAsia="es-CO"/>
              </w:rPr>
            </w:pPr>
            <w:r w:rsidRPr="00D71342">
              <w:rPr>
                <w:b/>
                <w:bCs/>
                <w:sz w:val="14"/>
                <w:szCs w:val="14"/>
                <w:lang w:eastAsia="es-CO"/>
              </w:rPr>
              <w:t>Categoría</w:t>
            </w:r>
          </w:p>
        </w:tc>
        <w:tc>
          <w:tcPr>
            <w:tcW w:w="1495" w:type="dxa"/>
            <w:tcBorders>
              <w:top w:val="single" w:sz="4" w:space="0" w:color="auto"/>
              <w:left w:val="nil"/>
              <w:bottom w:val="nil"/>
              <w:right w:val="nil"/>
            </w:tcBorders>
            <w:vAlign w:val="center"/>
            <w:hideMark/>
          </w:tcPr>
          <w:p w14:paraId="5D77DC28" w14:textId="77777777" w:rsidR="001D0079" w:rsidRPr="00D71342" w:rsidRDefault="001D0079" w:rsidP="003D1399">
            <w:pPr>
              <w:jc w:val="center"/>
              <w:rPr>
                <w:b/>
                <w:bCs/>
                <w:sz w:val="14"/>
                <w:szCs w:val="14"/>
                <w:lang w:eastAsia="es-CO"/>
              </w:rPr>
            </w:pPr>
            <w:r w:rsidRPr="00D71342">
              <w:rPr>
                <w:b/>
                <w:bCs/>
                <w:sz w:val="14"/>
                <w:szCs w:val="14"/>
                <w:lang w:eastAsia="es-CO"/>
              </w:rPr>
              <w:t>Factor</w:t>
            </w:r>
          </w:p>
        </w:tc>
        <w:tc>
          <w:tcPr>
            <w:tcW w:w="4747" w:type="dxa"/>
            <w:tcBorders>
              <w:top w:val="single" w:sz="4" w:space="0" w:color="auto"/>
              <w:left w:val="nil"/>
              <w:bottom w:val="nil"/>
              <w:right w:val="nil"/>
            </w:tcBorders>
            <w:vAlign w:val="center"/>
            <w:hideMark/>
          </w:tcPr>
          <w:p w14:paraId="5A45DD3F" w14:textId="77777777" w:rsidR="001D0079" w:rsidRPr="00D71342" w:rsidRDefault="001D0079" w:rsidP="003D1399">
            <w:pPr>
              <w:jc w:val="center"/>
              <w:rPr>
                <w:b/>
                <w:bCs/>
                <w:sz w:val="14"/>
                <w:szCs w:val="14"/>
                <w:lang w:eastAsia="es-CO"/>
              </w:rPr>
            </w:pPr>
            <w:r w:rsidRPr="00D71342">
              <w:rPr>
                <w:b/>
                <w:bCs/>
                <w:sz w:val="14"/>
                <w:szCs w:val="14"/>
                <w:lang w:eastAsia="es-CO"/>
              </w:rPr>
              <w:t>Descripción</w:t>
            </w:r>
          </w:p>
        </w:tc>
        <w:tc>
          <w:tcPr>
            <w:tcW w:w="2551" w:type="dxa"/>
            <w:tcBorders>
              <w:top w:val="single" w:sz="4" w:space="0" w:color="auto"/>
              <w:left w:val="nil"/>
              <w:bottom w:val="nil"/>
              <w:right w:val="nil"/>
            </w:tcBorders>
            <w:vAlign w:val="center"/>
            <w:hideMark/>
          </w:tcPr>
          <w:p w14:paraId="4545973F" w14:textId="77777777" w:rsidR="001D0079" w:rsidRPr="00D71342" w:rsidRDefault="001D0079" w:rsidP="003D1399">
            <w:pPr>
              <w:jc w:val="center"/>
              <w:rPr>
                <w:b/>
                <w:bCs/>
                <w:sz w:val="14"/>
                <w:szCs w:val="14"/>
                <w:lang w:eastAsia="es-CO"/>
              </w:rPr>
            </w:pPr>
            <w:r w:rsidRPr="00D71342">
              <w:rPr>
                <w:b/>
                <w:bCs/>
                <w:sz w:val="14"/>
                <w:szCs w:val="14"/>
                <w:lang w:eastAsia="es-CO"/>
              </w:rPr>
              <w:t>Autor(es)</w:t>
            </w:r>
          </w:p>
        </w:tc>
      </w:tr>
      <w:tr w:rsidR="00D71342" w:rsidRPr="00D71342" w14:paraId="0816DCAC" w14:textId="77777777" w:rsidTr="001D0079">
        <w:trPr>
          <w:trHeight w:val="77"/>
        </w:trPr>
        <w:tc>
          <w:tcPr>
            <w:tcW w:w="1129" w:type="dxa"/>
            <w:vMerge w:val="restart"/>
            <w:tcBorders>
              <w:top w:val="single" w:sz="4" w:space="0" w:color="auto"/>
              <w:left w:val="nil"/>
              <w:right w:val="nil"/>
            </w:tcBorders>
            <w:vAlign w:val="center"/>
            <w:hideMark/>
          </w:tcPr>
          <w:p w14:paraId="30394CC6" w14:textId="77777777" w:rsidR="001D0079" w:rsidRPr="00D71342" w:rsidRDefault="001D0079" w:rsidP="001D0079">
            <w:pPr>
              <w:jc w:val="center"/>
              <w:rPr>
                <w:b/>
                <w:bCs/>
                <w:sz w:val="14"/>
                <w:szCs w:val="14"/>
                <w:lang w:eastAsia="es-CO"/>
              </w:rPr>
            </w:pPr>
            <w:r w:rsidRPr="00D71342">
              <w:rPr>
                <w:b/>
                <w:bCs/>
                <w:sz w:val="14"/>
                <w:szCs w:val="14"/>
                <w:lang w:eastAsia="es-CO"/>
              </w:rPr>
              <w:t>Empresarial</w:t>
            </w:r>
          </w:p>
        </w:tc>
        <w:tc>
          <w:tcPr>
            <w:tcW w:w="1495" w:type="dxa"/>
            <w:tcBorders>
              <w:top w:val="single" w:sz="4" w:space="0" w:color="auto"/>
              <w:left w:val="nil"/>
              <w:bottom w:val="nil"/>
              <w:right w:val="nil"/>
            </w:tcBorders>
            <w:shd w:val="clear" w:color="000000" w:fill="BFBFBF"/>
            <w:vAlign w:val="center"/>
            <w:hideMark/>
          </w:tcPr>
          <w:p w14:paraId="214327C4" w14:textId="77777777" w:rsidR="001D0079" w:rsidRPr="00D71342" w:rsidRDefault="001D0079" w:rsidP="003D1399">
            <w:pPr>
              <w:rPr>
                <w:sz w:val="14"/>
                <w:szCs w:val="14"/>
                <w:lang w:eastAsia="es-CO"/>
              </w:rPr>
            </w:pPr>
            <w:r w:rsidRPr="00D71342">
              <w:rPr>
                <w:sz w:val="14"/>
                <w:szCs w:val="14"/>
                <w:lang w:eastAsia="es-CO"/>
              </w:rPr>
              <w:t>Orientación emprendedora verde</w:t>
            </w:r>
          </w:p>
        </w:tc>
        <w:tc>
          <w:tcPr>
            <w:tcW w:w="4747" w:type="dxa"/>
            <w:tcBorders>
              <w:top w:val="single" w:sz="4" w:space="0" w:color="auto"/>
              <w:left w:val="nil"/>
              <w:bottom w:val="nil"/>
              <w:right w:val="nil"/>
            </w:tcBorders>
            <w:shd w:val="clear" w:color="000000" w:fill="BFBFBF"/>
            <w:vAlign w:val="center"/>
            <w:hideMark/>
          </w:tcPr>
          <w:p w14:paraId="285949E5" w14:textId="77777777" w:rsidR="001D0079" w:rsidRPr="00D71342" w:rsidRDefault="001D0079" w:rsidP="003D1399">
            <w:pPr>
              <w:rPr>
                <w:sz w:val="14"/>
                <w:szCs w:val="14"/>
                <w:lang w:eastAsia="es-CO"/>
              </w:rPr>
            </w:pPr>
            <w:r w:rsidRPr="00D71342">
              <w:rPr>
                <w:sz w:val="14"/>
                <w:szCs w:val="14"/>
                <w:lang w:eastAsia="es-CO"/>
              </w:rPr>
              <w:t>Es la combinación de innovación, proactividad y asunción de riesgos ecológicos con el objetivo de lograr beneficios económicos y medioambientales; este factor se replica de forma prácticamente idéntica en contextos geográficos y culturales diferentes.</w:t>
            </w:r>
          </w:p>
        </w:tc>
        <w:tc>
          <w:tcPr>
            <w:tcW w:w="2551" w:type="dxa"/>
            <w:tcBorders>
              <w:top w:val="single" w:sz="4" w:space="0" w:color="auto"/>
              <w:left w:val="nil"/>
              <w:bottom w:val="nil"/>
              <w:right w:val="nil"/>
            </w:tcBorders>
            <w:shd w:val="clear" w:color="000000" w:fill="BFBFBF"/>
            <w:vAlign w:val="center"/>
            <w:hideMark/>
          </w:tcPr>
          <w:p w14:paraId="047498CE" w14:textId="77777777" w:rsidR="001D0079" w:rsidRPr="00D71342" w:rsidRDefault="001D0079" w:rsidP="003D1399">
            <w:pPr>
              <w:rPr>
                <w:sz w:val="14"/>
                <w:szCs w:val="14"/>
                <w:lang w:eastAsia="es-CO"/>
              </w:rPr>
            </w:pPr>
            <w:r w:rsidRPr="00D71342">
              <w:rPr>
                <w:sz w:val="14"/>
                <w:szCs w:val="14"/>
                <w:lang w:eastAsia="es-CO"/>
              </w:rPr>
              <w:t>Baquero (2024a)</w:t>
            </w:r>
            <w:r w:rsidRPr="00D71342">
              <w:rPr>
                <w:sz w:val="14"/>
                <w:szCs w:val="14"/>
                <w:lang w:eastAsia="es-CO"/>
              </w:rPr>
              <w:br/>
              <w:t>Maisaroh et al. (2024)</w:t>
            </w:r>
          </w:p>
        </w:tc>
      </w:tr>
      <w:tr w:rsidR="00D71342" w:rsidRPr="00D71342" w14:paraId="0FD2DD14" w14:textId="77777777" w:rsidTr="001D0079">
        <w:trPr>
          <w:trHeight w:val="56"/>
        </w:trPr>
        <w:tc>
          <w:tcPr>
            <w:tcW w:w="1129" w:type="dxa"/>
            <w:vMerge/>
            <w:tcBorders>
              <w:left w:val="nil"/>
              <w:right w:val="nil"/>
            </w:tcBorders>
            <w:vAlign w:val="center"/>
            <w:hideMark/>
          </w:tcPr>
          <w:p w14:paraId="701C710C" w14:textId="77777777" w:rsidR="001D0079" w:rsidRPr="00D71342" w:rsidRDefault="001D0079" w:rsidP="001D0079">
            <w:pPr>
              <w:jc w:val="center"/>
              <w:rPr>
                <w:b/>
                <w:bCs/>
                <w:sz w:val="14"/>
                <w:szCs w:val="14"/>
                <w:lang w:eastAsia="es-CO"/>
              </w:rPr>
            </w:pPr>
          </w:p>
        </w:tc>
        <w:tc>
          <w:tcPr>
            <w:tcW w:w="1495" w:type="dxa"/>
            <w:tcBorders>
              <w:top w:val="nil"/>
              <w:left w:val="nil"/>
              <w:bottom w:val="nil"/>
              <w:right w:val="nil"/>
            </w:tcBorders>
            <w:vAlign w:val="center"/>
            <w:hideMark/>
          </w:tcPr>
          <w:p w14:paraId="0E29CCE7" w14:textId="77777777" w:rsidR="001D0079" w:rsidRPr="00D71342" w:rsidRDefault="001D0079" w:rsidP="003D1399">
            <w:pPr>
              <w:rPr>
                <w:sz w:val="14"/>
                <w:szCs w:val="14"/>
                <w:lang w:eastAsia="es-CO"/>
              </w:rPr>
            </w:pPr>
            <w:r w:rsidRPr="00D71342">
              <w:rPr>
                <w:sz w:val="14"/>
                <w:szCs w:val="14"/>
                <w:lang w:eastAsia="es-CO"/>
              </w:rPr>
              <w:t>Capacidades dinámicas y de absorción</w:t>
            </w:r>
          </w:p>
        </w:tc>
        <w:tc>
          <w:tcPr>
            <w:tcW w:w="4747" w:type="dxa"/>
            <w:tcBorders>
              <w:top w:val="nil"/>
              <w:left w:val="nil"/>
              <w:bottom w:val="nil"/>
              <w:right w:val="nil"/>
            </w:tcBorders>
            <w:vAlign w:val="center"/>
            <w:hideMark/>
          </w:tcPr>
          <w:p w14:paraId="74A670FD" w14:textId="77777777" w:rsidR="001D0079" w:rsidRPr="00D71342" w:rsidRDefault="001D0079" w:rsidP="003D1399">
            <w:pPr>
              <w:rPr>
                <w:sz w:val="14"/>
                <w:szCs w:val="14"/>
                <w:lang w:eastAsia="es-CO"/>
              </w:rPr>
            </w:pPr>
            <w:r w:rsidRPr="00D71342">
              <w:rPr>
                <w:sz w:val="14"/>
                <w:szCs w:val="14"/>
                <w:lang w:eastAsia="es-CO"/>
              </w:rPr>
              <w:t>Son las habilidades organizacionales para reconocer, asimilar y aplicar nuevos conocimientos tecnológicos y ecológicos como factor clave del éxito y la mejora de los procesos.</w:t>
            </w:r>
          </w:p>
        </w:tc>
        <w:tc>
          <w:tcPr>
            <w:tcW w:w="2551" w:type="dxa"/>
            <w:tcBorders>
              <w:top w:val="nil"/>
              <w:left w:val="nil"/>
              <w:bottom w:val="nil"/>
              <w:right w:val="nil"/>
            </w:tcBorders>
            <w:vAlign w:val="center"/>
            <w:hideMark/>
          </w:tcPr>
          <w:p w14:paraId="30498728" w14:textId="77777777" w:rsidR="001D0079" w:rsidRPr="00D71342" w:rsidRDefault="001D0079" w:rsidP="003D1399">
            <w:pPr>
              <w:rPr>
                <w:sz w:val="14"/>
                <w:szCs w:val="14"/>
                <w:lang w:eastAsia="es-CO"/>
              </w:rPr>
            </w:pPr>
            <w:r w:rsidRPr="00D71342">
              <w:rPr>
                <w:sz w:val="14"/>
                <w:szCs w:val="14"/>
                <w:lang w:eastAsia="es-CO"/>
              </w:rPr>
              <w:t>Jin y Chorda (2025)</w:t>
            </w:r>
            <w:r w:rsidRPr="00D71342">
              <w:rPr>
                <w:sz w:val="14"/>
                <w:szCs w:val="14"/>
                <w:lang w:eastAsia="es-CO"/>
              </w:rPr>
              <w:br/>
              <w:t>Makhloufi et al. (2021)</w:t>
            </w:r>
          </w:p>
        </w:tc>
      </w:tr>
      <w:tr w:rsidR="00D71342" w:rsidRPr="00D71342" w14:paraId="4A9643D0" w14:textId="77777777" w:rsidTr="001D0079">
        <w:trPr>
          <w:trHeight w:val="56"/>
        </w:trPr>
        <w:tc>
          <w:tcPr>
            <w:tcW w:w="1129" w:type="dxa"/>
            <w:vMerge/>
            <w:tcBorders>
              <w:left w:val="nil"/>
              <w:right w:val="nil"/>
            </w:tcBorders>
            <w:vAlign w:val="center"/>
            <w:hideMark/>
          </w:tcPr>
          <w:p w14:paraId="2778100C" w14:textId="77777777" w:rsidR="001D0079" w:rsidRPr="00D71342" w:rsidRDefault="001D0079" w:rsidP="001D0079">
            <w:pPr>
              <w:jc w:val="center"/>
              <w:rPr>
                <w:b/>
                <w:bCs/>
                <w:sz w:val="14"/>
                <w:szCs w:val="14"/>
                <w:lang w:eastAsia="es-CO"/>
              </w:rPr>
            </w:pPr>
          </w:p>
        </w:tc>
        <w:tc>
          <w:tcPr>
            <w:tcW w:w="1495" w:type="dxa"/>
            <w:tcBorders>
              <w:top w:val="nil"/>
              <w:left w:val="nil"/>
              <w:bottom w:val="nil"/>
              <w:right w:val="nil"/>
            </w:tcBorders>
            <w:shd w:val="clear" w:color="000000" w:fill="BFBFBF"/>
            <w:vAlign w:val="center"/>
            <w:hideMark/>
          </w:tcPr>
          <w:p w14:paraId="440C76A6" w14:textId="77777777" w:rsidR="001D0079" w:rsidRPr="00D71342" w:rsidRDefault="001D0079" w:rsidP="003D1399">
            <w:pPr>
              <w:rPr>
                <w:sz w:val="14"/>
                <w:szCs w:val="14"/>
                <w:lang w:eastAsia="es-CO"/>
              </w:rPr>
            </w:pPr>
            <w:r w:rsidRPr="00D71342">
              <w:rPr>
                <w:sz w:val="14"/>
                <w:szCs w:val="14"/>
                <w:lang w:eastAsia="es-CO"/>
              </w:rPr>
              <w:t>Gestión verde de recursos</w:t>
            </w:r>
          </w:p>
        </w:tc>
        <w:tc>
          <w:tcPr>
            <w:tcW w:w="4747" w:type="dxa"/>
            <w:tcBorders>
              <w:top w:val="nil"/>
              <w:left w:val="nil"/>
              <w:bottom w:val="nil"/>
              <w:right w:val="nil"/>
            </w:tcBorders>
            <w:shd w:val="clear" w:color="000000" w:fill="BFBFBF"/>
            <w:vAlign w:val="center"/>
            <w:hideMark/>
          </w:tcPr>
          <w:p w14:paraId="2D30936D" w14:textId="77777777" w:rsidR="001D0079" w:rsidRPr="00D71342" w:rsidRDefault="001D0079" w:rsidP="003D1399">
            <w:pPr>
              <w:rPr>
                <w:sz w:val="14"/>
                <w:szCs w:val="14"/>
                <w:lang w:eastAsia="es-CO"/>
              </w:rPr>
            </w:pPr>
            <w:r w:rsidRPr="00D71342">
              <w:rPr>
                <w:sz w:val="14"/>
                <w:szCs w:val="14"/>
                <w:lang w:eastAsia="es-CO"/>
              </w:rPr>
              <w:t>Hace referencia al reclutamiento, capacitación, evaluación de desempeño verde y retención de personal con competencias ambientales, fomentando comportamientos responsables con el medio ambiente en los empleados.</w:t>
            </w:r>
          </w:p>
        </w:tc>
        <w:tc>
          <w:tcPr>
            <w:tcW w:w="2551" w:type="dxa"/>
            <w:tcBorders>
              <w:top w:val="nil"/>
              <w:left w:val="nil"/>
              <w:bottom w:val="nil"/>
              <w:right w:val="nil"/>
            </w:tcBorders>
            <w:shd w:val="clear" w:color="000000" w:fill="BFBFBF"/>
            <w:vAlign w:val="center"/>
            <w:hideMark/>
          </w:tcPr>
          <w:p w14:paraId="3B947D43" w14:textId="77777777" w:rsidR="001D0079" w:rsidRPr="00D71342" w:rsidRDefault="001D0079" w:rsidP="003D1399">
            <w:pPr>
              <w:rPr>
                <w:sz w:val="14"/>
                <w:szCs w:val="14"/>
                <w:lang w:eastAsia="es-CO"/>
              </w:rPr>
            </w:pPr>
            <w:r w:rsidRPr="00D71342">
              <w:rPr>
                <w:sz w:val="14"/>
                <w:szCs w:val="14"/>
                <w:lang w:eastAsia="es-CO"/>
              </w:rPr>
              <w:t>Radulescu et al. (2025)</w:t>
            </w:r>
          </w:p>
        </w:tc>
      </w:tr>
      <w:tr w:rsidR="00D71342" w:rsidRPr="00D71342" w14:paraId="17F6FD96" w14:textId="77777777" w:rsidTr="001D0079">
        <w:trPr>
          <w:trHeight w:val="56"/>
        </w:trPr>
        <w:tc>
          <w:tcPr>
            <w:tcW w:w="1129" w:type="dxa"/>
            <w:vMerge/>
            <w:tcBorders>
              <w:left w:val="nil"/>
              <w:bottom w:val="single" w:sz="4" w:space="0" w:color="auto"/>
              <w:right w:val="nil"/>
            </w:tcBorders>
            <w:vAlign w:val="center"/>
            <w:hideMark/>
          </w:tcPr>
          <w:p w14:paraId="01B45F8D" w14:textId="77777777" w:rsidR="001D0079" w:rsidRPr="00D71342" w:rsidRDefault="001D0079" w:rsidP="001D0079">
            <w:pPr>
              <w:jc w:val="center"/>
              <w:rPr>
                <w:b/>
                <w:bCs/>
                <w:sz w:val="14"/>
                <w:szCs w:val="14"/>
                <w:lang w:eastAsia="es-CO"/>
              </w:rPr>
            </w:pPr>
          </w:p>
        </w:tc>
        <w:tc>
          <w:tcPr>
            <w:tcW w:w="1495" w:type="dxa"/>
            <w:tcBorders>
              <w:top w:val="nil"/>
              <w:left w:val="nil"/>
              <w:bottom w:val="single" w:sz="4" w:space="0" w:color="auto"/>
              <w:right w:val="nil"/>
            </w:tcBorders>
            <w:vAlign w:val="center"/>
            <w:hideMark/>
          </w:tcPr>
          <w:p w14:paraId="7FC267A8" w14:textId="77777777" w:rsidR="001D0079" w:rsidRPr="00D71342" w:rsidRDefault="001D0079" w:rsidP="003D1399">
            <w:pPr>
              <w:rPr>
                <w:sz w:val="14"/>
                <w:szCs w:val="14"/>
                <w:lang w:eastAsia="es-CO"/>
              </w:rPr>
            </w:pPr>
            <w:r w:rsidRPr="00D71342">
              <w:rPr>
                <w:sz w:val="14"/>
                <w:szCs w:val="14"/>
                <w:lang w:eastAsia="es-CO"/>
              </w:rPr>
              <w:t>Cultura organizacional</w:t>
            </w:r>
          </w:p>
        </w:tc>
        <w:tc>
          <w:tcPr>
            <w:tcW w:w="4747" w:type="dxa"/>
            <w:tcBorders>
              <w:top w:val="nil"/>
              <w:left w:val="nil"/>
              <w:bottom w:val="single" w:sz="4" w:space="0" w:color="auto"/>
              <w:right w:val="nil"/>
            </w:tcBorders>
            <w:vAlign w:val="center"/>
            <w:hideMark/>
          </w:tcPr>
          <w:p w14:paraId="600F8427" w14:textId="77777777" w:rsidR="001D0079" w:rsidRPr="00D71342" w:rsidRDefault="001D0079" w:rsidP="003D1399">
            <w:pPr>
              <w:rPr>
                <w:sz w:val="14"/>
                <w:szCs w:val="14"/>
                <w:lang w:eastAsia="es-CO"/>
              </w:rPr>
            </w:pPr>
            <w:r w:rsidRPr="00D71342">
              <w:rPr>
                <w:sz w:val="14"/>
                <w:szCs w:val="14"/>
                <w:lang w:eastAsia="es-CO"/>
              </w:rPr>
              <w:t>Conjunto de valores, compromiso, normas, prácticas y visión compartidas que orientan a una empresa hacia la sostenibilidad ecológica, facilitando la toma de decisiones ecológicas eficaces. Además, fomenta una cultura de intercambio de comportamientos y motivación de los empleados hacia el medio ambiente.</w:t>
            </w:r>
          </w:p>
        </w:tc>
        <w:tc>
          <w:tcPr>
            <w:tcW w:w="2551" w:type="dxa"/>
            <w:tcBorders>
              <w:top w:val="nil"/>
              <w:left w:val="nil"/>
              <w:bottom w:val="single" w:sz="4" w:space="0" w:color="auto"/>
              <w:right w:val="nil"/>
            </w:tcBorders>
            <w:vAlign w:val="center"/>
            <w:hideMark/>
          </w:tcPr>
          <w:p w14:paraId="4E4DC121" w14:textId="77777777" w:rsidR="001D0079" w:rsidRPr="00D71342" w:rsidRDefault="001D0079" w:rsidP="003D1399">
            <w:pPr>
              <w:rPr>
                <w:sz w:val="14"/>
                <w:szCs w:val="14"/>
                <w:lang w:eastAsia="es-CO"/>
              </w:rPr>
            </w:pPr>
            <w:r w:rsidRPr="00D71342">
              <w:rPr>
                <w:sz w:val="14"/>
                <w:szCs w:val="14"/>
                <w:lang w:eastAsia="es-CO"/>
              </w:rPr>
              <w:t>Hermawan et al. (2025)</w:t>
            </w:r>
            <w:r w:rsidRPr="00D71342">
              <w:rPr>
                <w:sz w:val="14"/>
                <w:szCs w:val="14"/>
                <w:lang w:eastAsia="es-CO"/>
              </w:rPr>
              <w:br/>
              <w:t>Satar et al. (2024)</w:t>
            </w:r>
          </w:p>
        </w:tc>
      </w:tr>
      <w:tr w:rsidR="00D71342" w:rsidRPr="00D71342" w14:paraId="3A4C9024" w14:textId="77777777" w:rsidTr="001D0079">
        <w:trPr>
          <w:trHeight w:val="46"/>
        </w:trPr>
        <w:tc>
          <w:tcPr>
            <w:tcW w:w="1129" w:type="dxa"/>
            <w:vMerge w:val="restart"/>
            <w:tcBorders>
              <w:top w:val="nil"/>
              <w:left w:val="nil"/>
              <w:right w:val="nil"/>
            </w:tcBorders>
            <w:vAlign w:val="center"/>
            <w:hideMark/>
          </w:tcPr>
          <w:p w14:paraId="796B1ADC" w14:textId="77777777" w:rsidR="001D0079" w:rsidRPr="00D71342" w:rsidRDefault="001D0079" w:rsidP="001D0079">
            <w:pPr>
              <w:jc w:val="center"/>
              <w:rPr>
                <w:b/>
                <w:bCs/>
                <w:sz w:val="14"/>
                <w:szCs w:val="14"/>
                <w:lang w:eastAsia="es-CO"/>
              </w:rPr>
            </w:pPr>
            <w:r w:rsidRPr="00D71342">
              <w:rPr>
                <w:b/>
                <w:bCs/>
                <w:sz w:val="14"/>
                <w:szCs w:val="14"/>
                <w:lang w:eastAsia="es-CO"/>
              </w:rPr>
              <w:t>Económicos</w:t>
            </w:r>
          </w:p>
          <w:p w14:paraId="1CF2730B" w14:textId="4B54D9B9" w:rsidR="001D0079" w:rsidRPr="00D71342" w:rsidRDefault="001D0079" w:rsidP="001D0079">
            <w:pPr>
              <w:jc w:val="center"/>
              <w:rPr>
                <w:b/>
                <w:bCs/>
                <w:sz w:val="14"/>
                <w:szCs w:val="14"/>
                <w:lang w:eastAsia="es-CO"/>
              </w:rPr>
            </w:pPr>
          </w:p>
        </w:tc>
        <w:tc>
          <w:tcPr>
            <w:tcW w:w="1495" w:type="dxa"/>
            <w:tcBorders>
              <w:top w:val="nil"/>
              <w:left w:val="nil"/>
              <w:bottom w:val="nil"/>
              <w:right w:val="nil"/>
            </w:tcBorders>
            <w:shd w:val="clear" w:color="000000" w:fill="BFBFBF"/>
            <w:vAlign w:val="center"/>
            <w:hideMark/>
          </w:tcPr>
          <w:p w14:paraId="1C34300F" w14:textId="77777777" w:rsidR="001D0079" w:rsidRPr="00D71342" w:rsidRDefault="001D0079" w:rsidP="003D1399">
            <w:pPr>
              <w:rPr>
                <w:sz w:val="14"/>
                <w:szCs w:val="14"/>
                <w:lang w:eastAsia="es-CO"/>
              </w:rPr>
            </w:pPr>
            <w:r w:rsidRPr="00D71342">
              <w:rPr>
                <w:sz w:val="14"/>
                <w:szCs w:val="14"/>
                <w:lang w:eastAsia="es-CO"/>
              </w:rPr>
              <w:t>Acceso a financiamiento verde</w:t>
            </w:r>
          </w:p>
        </w:tc>
        <w:tc>
          <w:tcPr>
            <w:tcW w:w="4747" w:type="dxa"/>
            <w:tcBorders>
              <w:top w:val="nil"/>
              <w:left w:val="nil"/>
              <w:bottom w:val="nil"/>
              <w:right w:val="nil"/>
            </w:tcBorders>
            <w:shd w:val="clear" w:color="auto" w:fill="BFBFBF" w:themeFill="background1" w:themeFillShade="BF"/>
            <w:vAlign w:val="center"/>
            <w:hideMark/>
          </w:tcPr>
          <w:p w14:paraId="192478BB" w14:textId="77777777" w:rsidR="001D0079" w:rsidRPr="00D71342" w:rsidRDefault="001D0079" w:rsidP="003D1399">
            <w:pPr>
              <w:rPr>
                <w:sz w:val="14"/>
                <w:szCs w:val="14"/>
                <w:lang w:eastAsia="es-CO"/>
              </w:rPr>
            </w:pPr>
            <w:r w:rsidRPr="00D71342">
              <w:rPr>
                <w:sz w:val="14"/>
                <w:szCs w:val="14"/>
                <w:lang w:eastAsia="es-CO"/>
              </w:rPr>
              <w:t>Permite a los emprendedores cubrir los altos costos iniciales, desarrollar o implementar tecnologías de producción que sean sostenibles y responsables con el medio ambiente</w:t>
            </w:r>
          </w:p>
        </w:tc>
        <w:tc>
          <w:tcPr>
            <w:tcW w:w="2551" w:type="dxa"/>
            <w:tcBorders>
              <w:top w:val="nil"/>
              <w:left w:val="nil"/>
              <w:bottom w:val="nil"/>
              <w:right w:val="nil"/>
            </w:tcBorders>
            <w:shd w:val="clear" w:color="000000" w:fill="BFBFBF"/>
            <w:vAlign w:val="center"/>
            <w:hideMark/>
          </w:tcPr>
          <w:p w14:paraId="27386A23" w14:textId="77777777" w:rsidR="001D0079" w:rsidRPr="00D71342" w:rsidRDefault="001D0079" w:rsidP="003D1399">
            <w:pPr>
              <w:rPr>
                <w:sz w:val="14"/>
                <w:szCs w:val="14"/>
                <w:lang w:eastAsia="es-CO"/>
              </w:rPr>
            </w:pPr>
            <w:r w:rsidRPr="00D71342">
              <w:rPr>
                <w:sz w:val="14"/>
                <w:szCs w:val="14"/>
                <w:lang w:eastAsia="es-CO"/>
              </w:rPr>
              <w:t>Reza-Gharehbagh et al. (2022)</w:t>
            </w:r>
            <w:r w:rsidRPr="00D71342">
              <w:rPr>
                <w:sz w:val="14"/>
                <w:szCs w:val="14"/>
                <w:lang w:eastAsia="es-CO"/>
              </w:rPr>
              <w:br/>
              <w:t>Stadnyk et al. (2021)</w:t>
            </w:r>
          </w:p>
        </w:tc>
      </w:tr>
      <w:tr w:rsidR="00D71342" w:rsidRPr="00D71342" w14:paraId="62C4FE78" w14:textId="77777777" w:rsidTr="001D0079">
        <w:trPr>
          <w:trHeight w:val="56"/>
        </w:trPr>
        <w:tc>
          <w:tcPr>
            <w:tcW w:w="1129" w:type="dxa"/>
            <w:vMerge/>
            <w:tcBorders>
              <w:left w:val="nil"/>
              <w:right w:val="nil"/>
            </w:tcBorders>
            <w:vAlign w:val="center"/>
            <w:hideMark/>
          </w:tcPr>
          <w:p w14:paraId="26427D3C" w14:textId="77777777" w:rsidR="001D0079" w:rsidRPr="00D71342" w:rsidRDefault="001D0079" w:rsidP="001D0079">
            <w:pPr>
              <w:jc w:val="center"/>
              <w:rPr>
                <w:b/>
                <w:bCs/>
                <w:sz w:val="14"/>
                <w:szCs w:val="14"/>
                <w:lang w:eastAsia="es-CO"/>
              </w:rPr>
            </w:pPr>
          </w:p>
        </w:tc>
        <w:tc>
          <w:tcPr>
            <w:tcW w:w="1495" w:type="dxa"/>
            <w:tcBorders>
              <w:top w:val="nil"/>
              <w:left w:val="nil"/>
              <w:bottom w:val="nil"/>
              <w:right w:val="nil"/>
            </w:tcBorders>
            <w:vAlign w:val="center"/>
            <w:hideMark/>
          </w:tcPr>
          <w:p w14:paraId="5FCB3D90" w14:textId="77777777" w:rsidR="001D0079" w:rsidRPr="00D71342" w:rsidRDefault="001D0079" w:rsidP="003D1399">
            <w:pPr>
              <w:rPr>
                <w:sz w:val="14"/>
                <w:szCs w:val="14"/>
                <w:lang w:eastAsia="es-CO"/>
              </w:rPr>
            </w:pPr>
            <w:r w:rsidRPr="00D71342">
              <w:rPr>
                <w:sz w:val="14"/>
                <w:szCs w:val="14"/>
                <w:lang w:eastAsia="es-CO"/>
              </w:rPr>
              <w:t>Incentivos fiscales y subsidios gubernamentales</w:t>
            </w:r>
          </w:p>
        </w:tc>
        <w:tc>
          <w:tcPr>
            <w:tcW w:w="4747" w:type="dxa"/>
            <w:tcBorders>
              <w:top w:val="nil"/>
              <w:left w:val="nil"/>
              <w:bottom w:val="nil"/>
              <w:right w:val="nil"/>
            </w:tcBorders>
            <w:vAlign w:val="center"/>
            <w:hideMark/>
          </w:tcPr>
          <w:p w14:paraId="1305A431" w14:textId="77777777" w:rsidR="001D0079" w:rsidRPr="00D71342" w:rsidRDefault="001D0079" w:rsidP="003D1399">
            <w:pPr>
              <w:rPr>
                <w:sz w:val="14"/>
                <w:szCs w:val="14"/>
                <w:lang w:eastAsia="es-CO"/>
              </w:rPr>
            </w:pPr>
            <w:r w:rsidRPr="00D71342">
              <w:rPr>
                <w:sz w:val="14"/>
                <w:szCs w:val="14"/>
                <w:lang w:eastAsia="es-CO"/>
              </w:rPr>
              <w:t>Políticas de apoyo como créditos verdes, subsidios, exenciones fiscales y programas de financiamiento preferencial fundamentales para superar las barreras iniciales de inversión e incertidumbre tecnológica de la innovación verde.</w:t>
            </w:r>
          </w:p>
        </w:tc>
        <w:tc>
          <w:tcPr>
            <w:tcW w:w="2551" w:type="dxa"/>
            <w:tcBorders>
              <w:top w:val="nil"/>
              <w:left w:val="nil"/>
              <w:bottom w:val="nil"/>
              <w:right w:val="nil"/>
            </w:tcBorders>
            <w:vAlign w:val="center"/>
            <w:hideMark/>
          </w:tcPr>
          <w:p w14:paraId="5A78AE56" w14:textId="77777777" w:rsidR="001D0079" w:rsidRPr="00D71342" w:rsidRDefault="001D0079" w:rsidP="003D1399">
            <w:pPr>
              <w:rPr>
                <w:sz w:val="14"/>
                <w:szCs w:val="14"/>
                <w:lang w:eastAsia="es-CO"/>
              </w:rPr>
            </w:pPr>
            <w:r w:rsidRPr="00D71342">
              <w:rPr>
                <w:sz w:val="14"/>
                <w:szCs w:val="14"/>
                <w:lang w:eastAsia="es-CO"/>
              </w:rPr>
              <w:t>Al-Mamary (2025)</w:t>
            </w:r>
            <w:r w:rsidRPr="00D71342">
              <w:rPr>
                <w:sz w:val="14"/>
                <w:szCs w:val="14"/>
                <w:lang w:eastAsia="es-CO"/>
              </w:rPr>
              <w:br/>
              <w:t>Niemczyk et al. (2023)</w:t>
            </w:r>
            <w:r w:rsidRPr="00D71342">
              <w:rPr>
                <w:sz w:val="14"/>
                <w:szCs w:val="14"/>
                <w:lang w:eastAsia="es-CO"/>
              </w:rPr>
              <w:br/>
              <w:t>Yang et al. (2021)</w:t>
            </w:r>
          </w:p>
        </w:tc>
      </w:tr>
      <w:tr w:rsidR="00D71342" w:rsidRPr="00D71342" w14:paraId="7A32254C" w14:textId="77777777" w:rsidTr="001D0079">
        <w:trPr>
          <w:trHeight w:val="56"/>
        </w:trPr>
        <w:tc>
          <w:tcPr>
            <w:tcW w:w="1129" w:type="dxa"/>
            <w:vMerge/>
            <w:tcBorders>
              <w:left w:val="nil"/>
              <w:right w:val="nil"/>
            </w:tcBorders>
            <w:vAlign w:val="center"/>
            <w:hideMark/>
          </w:tcPr>
          <w:p w14:paraId="3A632AA5" w14:textId="77777777" w:rsidR="001D0079" w:rsidRPr="00D71342" w:rsidRDefault="001D0079" w:rsidP="001D0079">
            <w:pPr>
              <w:jc w:val="center"/>
              <w:rPr>
                <w:b/>
                <w:bCs/>
                <w:sz w:val="14"/>
                <w:szCs w:val="14"/>
                <w:lang w:eastAsia="es-CO"/>
              </w:rPr>
            </w:pPr>
          </w:p>
        </w:tc>
        <w:tc>
          <w:tcPr>
            <w:tcW w:w="1495" w:type="dxa"/>
            <w:tcBorders>
              <w:top w:val="nil"/>
              <w:left w:val="nil"/>
              <w:bottom w:val="single" w:sz="4" w:space="0" w:color="000000"/>
              <w:right w:val="nil"/>
            </w:tcBorders>
            <w:shd w:val="clear" w:color="000000" w:fill="BFBFBF"/>
            <w:vAlign w:val="center"/>
            <w:hideMark/>
          </w:tcPr>
          <w:p w14:paraId="0967C8BF" w14:textId="77777777" w:rsidR="001D0079" w:rsidRPr="00D71342" w:rsidRDefault="001D0079" w:rsidP="003D1399">
            <w:pPr>
              <w:rPr>
                <w:sz w:val="14"/>
                <w:szCs w:val="14"/>
                <w:lang w:eastAsia="es-CO"/>
              </w:rPr>
            </w:pPr>
            <w:r w:rsidRPr="00D71342">
              <w:rPr>
                <w:sz w:val="14"/>
                <w:szCs w:val="14"/>
                <w:lang w:eastAsia="es-CO"/>
              </w:rPr>
              <w:t>Demanda de mercados verdes</w:t>
            </w:r>
          </w:p>
        </w:tc>
        <w:tc>
          <w:tcPr>
            <w:tcW w:w="4747" w:type="dxa"/>
            <w:tcBorders>
              <w:top w:val="nil"/>
              <w:left w:val="nil"/>
              <w:bottom w:val="single" w:sz="4" w:space="0" w:color="000000"/>
              <w:right w:val="nil"/>
            </w:tcBorders>
            <w:shd w:val="clear" w:color="000000" w:fill="BFBFBF"/>
            <w:vAlign w:val="center"/>
            <w:hideMark/>
          </w:tcPr>
          <w:p w14:paraId="6D8D01D4" w14:textId="77777777" w:rsidR="001D0079" w:rsidRPr="00D71342" w:rsidRDefault="001D0079" w:rsidP="003D1399">
            <w:pPr>
              <w:rPr>
                <w:sz w:val="14"/>
                <w:szCs w:val="14"/>
                <w:lang w:eastAsia="es-CO"/>
              </w:rPr>
            </w:pPr>
            <w:r w:rsidRPr="00D71342">
              <w:rPr>
                <w:sz w:val="14"/>
                <w:szCs w:val="14"/>
                <w:lang w:eastAsia="es-CO"/>
              </w:rPr>
              <w:t>Preferencia en los consumidores por adquirir productos y servicios sostenibles; lo que ha generado que las empresas busquen desarrollar su ventaja competitiva y reducción de costos operativos a través de prácticas eficientes, ahorro de energía y optimización de recursos.</w:t>
            </w:r>
          </w:p>
        </w:tc>
        <w:tc>
          <w:tcPr>
            <w:tcW w:w="2551" w:type="dxa"/>
            <w:tcBorders>
              <w:top w:val="nil"/>
              <w:left w:val="nil"/>
              <w:bottom w:val="single" w:sz="4" w:space="0" w:color="000000"/>
              <w:right w:val="nil"/>
            </w:tcBorders>
            <w:shd w:val="clear" w:color="000000" w:fill="BFBFBF"/>
            <w:vAlign w:val="center"/>
            <w:hideMark/>
          </w:tcPr>
          <w:p w14:paraId="558C15EE" w14:textId="77777777" w:rsidR="001D0079" w:rsidRPr="00D71342" w:rsidRDefault="001D0079" w:rsidP="003D1399">
            <w:pPr>
              <w:rPr>
                <w:sz w:val="14"/>
                <w:szCs w:val="14"/>
                <w:lang w:eastAsia="es-CO"/>
              </w:rPr>
            </w:pPr>
            <w:r w:rsidRPr="00D71342">
              <w:rPr>
                <w:sz w:val="14"/>
                <w:szCs w:val="14"/>
                <w:lang w:eastAsia="es-CO"/>
              </w:rPr>
              <w:t>Rasheed et al. (2024)</w:t>
            </w:r>
            <w:r w:rsidRPr="00D71342">
              <w:rPr>
                <w:sz w:val="14"/>
                <w:szCs w:val="14"/>
                <w:lang w:eastAsia="es-CO"/>
              </w:rPr>
              <w:br/>
              <w:t>Y. Le y Zhang (2024)</w:t>
            </w:r>
            <w:r w:rsidRPr="00D71342">
              <w:rPr>
                <w:sz w:val="14"/>
                <w:szCs w:val="14"/>
                <w:lang w:eastAsia="es-CO"/>
              </w:rPr>
              <w:br/>
              <w:t>Neumann (2022)</w:t>
            </w:r>
            <w:r w:rsidRPr="00D71342">
              <w:rPr>
                <w:sz w:val="14"/>
                <w:szCs w:val="14"/>
                <w:lang w:eastAsia="es-CO"/>
              </w:rPr>
              <w:br/>
              <w:t>Tien et al. (2023)</w:t>
            </w:r>
          </w:p>
        </w:tc>
      </w:tr>
      <w:tr w:rsidR="00D71342" w:rsidRPr="00D71342" w14:paraId="2D621396" w14:textId="77777777" w:rsidTr="001D0079">
        <w:trPr>
          <w:trHeight w:val="46"/>
        </w:trPr>
        <w:tc>
          <w:tcPr>
            <w:tcW w:w="1129" w:type="dxa"/>
            <w:vMerge w:val="restart"/>
            <w:tcBorders>
              <w:top w:val="single" w:sz="4" w:space="0" w:color="000000"/>
              <w:left w:val="nil"/>
              <w:right w:val="nil"/>
            </w:tcBorders>
            <w:vAlign w:val="center"/>
          </w:tcPr>
          <w:p w14:paraId="70CDCCA4" w14:textId="77777777" w:rsidR="001D0079" w:rsidRPr="00D71342" w:rsidRDefault="001D0079" w:rsidP="001D0079">
            <w:pPr>
              <w:jc w:val="center"/>
              <w:rPr>
                <w:b/>
                <w:bCs/>
                <w:sz w:val="14"/>
                <w:szCs w:val="14"/>
                <w:lang w:eastAsia="es-CO"/>
              </w:rPr>
            </w:pPr>
            <w:r w:rsidRPr="00D71342">
              <w:rPr>
                <w:b/>
                <w:bCs/>
                <w:sz w:val="14"/>
                <w:szCs w:val="14"/>
                <w:lang w:eastAsia="es-CO"/>
              </w:rPr>
              <w:t>Culturales</w:t>
            </w:r>
          </w:p>
        </w:tc>
        <w:tc>
          <w:tcPr>
            <w:tcW w:w="1495" w:type="dxa"/>
            <w:tcBorders>
              <w:top w:val="single" w:sz="4" w:space="0" w:color="000000"/>
              <w:left w:val="nil"/>
              <w:bottom w:val="nil"/>
              <w:right w:val="nil"/>
            </w:tcBorders>
            <w:vAlign w:val="center"/>
          </w:tcPr>
          <w:p w14:paraId="2230AF7C" w14:textId="77777777" w:rsidR="001D0079" w:rsidRPr="00D71342" w:rsidRDefault="001D0079" w:rsidP="003D1399">
            <w:pPr>
              <w:rPr>
                <w:sz w:val="14"/>
                <w:szCs w:val="14"/>
                <w:lang w:eastAsia="es-CO"/>
              </w:rPr>
            </w:pPr>
            <w:r w:rsidRPr="00D71342">
              <w:rPr>
                <w:sz w:val="14"/>
                <w:szCs w:val="14"/>
                <w:lang w:eastAsia="es-CO"/>
              </w:rPr>
              <w:t>Conciencia ambiental y valores proambientales</w:t>
            </w:r>
          </w:p>
        </w:tc>
        <w:tc>
          <w:tcPr>
            <w:tcW w:w="4747" w:type="dxa"/>
            <w:tcBorders>
              <w:top w:val="single" w:sz="4" w:space="0" w:color="000000"/>
              <w:left w:val="nil"/>
              <w:bottom w:val="nil"/>
              <w:right w:val="nil"/>
            </w:tcBorders>
            <w:vAlign w:val="center"/>
          </w:tcPr>
          <w:p w14:paraId="40C8DDEC" w14:textId="77777777" w:rsidR="001D0079" w:rsidRPr="00D71342" w:rsidRDefault="001D0079" w:rsidP="003D1399">
            <w:pPr>
              <w:rPr>
                <w:sz w:val="14"/>
                <w:szCs w:val="14"/>
                <w:lang w:eastAsia="es-CO"/>
              </w:rPr>
            </w:pPr>
            <w:r w:rsidRPr="00D71342">
              <w:rPr>
                <w:sz w:val="14"/>
                <w:szCs w:val="14"/>
                <w:lang w:eastAsia="es-CO"/>
              </w:rPr>
              <w:t>La conciencia ambiental es el nivel de comprensión, atención y sensibilidad que posee el individuo sobre los problemas ecológicos, reconociendo el vínculo entre las acciones humanas y la preservación del entorno. Los valores proambientales, especialmente los de carácter biosferico y colectivista, son las creencias y principios que priorizan el bienestar de la naturaleza.</w:t>
            </w:r>
          </w:p>
        </w:tc>
        <w:tc>
          <w:tcPr>
            <w:tcW w:w="2551" w:type="dxa"/>
            <w:tcBorders>
              <w:top w:val="single" w:sz="4" w:space="0" w:color="000000"/>
              <w:left w:val="nil"/>
              <w:bottom w:val="nil"/>
              <w:right w:val="nil"/>
            </w:tcBorders>
            <w:vAlign w:val="center"/>
          </w:tcPr>
          <w:p w14:paraId="74F67136" w14:textId="0C23BE2A" w:rsidR="001D0079" w:rsidRPr="00D71342" w:rsidRDefault="001D0079" w:rsidP="003D1399">
            <w:pPr>
              <w:rPr>
                <w:sz w:val="14"/>
                <w:szCs w:val="14"/>
                <w:lang w:eastAsia="es-CO"/>
              </w:rPr>
            </w:pPr>
            <w:r w:rsidRPr="00D71342">
              <w:rPr>
                <w:sz w:val="14"/>
                <w:szCs w:val="14"/>
                <w:lang w:eastAsia="es-CO"/>
              </w:rPr>
              <w:t>Jan y Kim (202</w:t>
            </w:r>
            <w:r w:rsidR="0016045C" w:rsidRPr="00D71342">
              <w:rPr>
                <w:sz w:val="14"/>
                <w:szCs w:val="14"/>
                <w:lang w:eastAsia="es-CO"/>
              </w:rPr>
              <w:t>4</w:t>
            </w:r>
            <w:r w:rsidRPr="00D71342">
              <w:rPr>
                <w:sz w:val="14"/>
                <w:szCs w:val="14"/>
                <w:lang w:eastAsia="es-CO"/>
              </w:rPr>
              <w:t>)</w:t>
            </w:r>
            <w:r w:rsidRPr="00D71342">
              <w:rPr>
                <w:sz w:val="14"/>
                <w:szCs w:val="14"/>
                <w:lang w:eastAsia="es-CO"/>
              </w:rPr>
              <w:br/>
              <w:t>Rahayu (2024)</w:t>
            </w:r>
          </w:p>
        </w:tc>
      </w:tr>
      <w:tr w:rsidR="00D71342" w:rsidRPr="00D71342" w14:paraId="47C1DE2D" w14:textId="77777777" w:rsidTr="001D0079">
        <w:trPr>
          <w:trHeight w:val="56"/>
        </w:trPr>
        <w:tc>
          <w:tcPr>
            <w:tcW w:w="1129" w:type="dxa"/>
            <w:vMerge/>
            <w:tcBorders>
              <w:left w:val="nil"/>
              <w:right w:val="nil"/>
            </w:tcBorders>
            <w:vAlign w:val="center"/>
          </w:tcPr>
          <w:p w14:paraId="26963BC8" w14:textId="77777777" w:rsidR="001D0079" w:rsidRPr="00D71342" w:rsidRDefault="001D0079" w:rsidP="003D1399">
            <w:pPr>
              <w:rPr>
                <w:sz w:val="14"/>
                <w:szCs w:val="14"/>
                <w:lang w:eastAsia="es-CO"/>
              </w:rPr>
            </w:pPr>
          </w:p>
        </w:tc>
        <w:tc>
          <w:tcPr>
            <w:tcW w:w="1495" w:type="dxa"/>
            <w:tcBorders>
              <w:top w:val="nil"/>
              <w:left w:val="nil"/>
              <w:bottom w:val="nil"/>
              <w:right w:val="nil"/>
            </w:tcBorders>
            <w:shd w:val="clear" w:color="000000" w:fill="BFBFBF"/>
            <w:vAlign w:val="center"/>
          </w:tcPr>
          <w:p w14:paraId="6C803CC6" w14:textId="77777777" w:rsidR="001D0079" w:rsidRPr="00D71342" w:rsidRDefault="001D0079" w:rsidP="003D1399">
            <w:pPr>
              <w:rPr>
                <w:sz w:val="14"/>
                <w:szCs w:val="14"/>
                <w:lang w:eastAsia="es-CO"/>
              </w:rPr>
            </w:pPr>
            <w:r w:rsidRPr="00D71342">
              <w:rPr>
                <w:sz w:val="14"/>
                <w:szCs w:val="14"/>
                <w:lang w:eastAsia="es-CO"/>
              </w:rPr>
              <w:t>Cultura de sostenibilidad y normas sociales</w:t>
            </w:r>
          </w:p>
        </w:tc>
        <w:tc>
          <w:tcPr>
            <w:tcW w:w="4747" w:type="dxa"/>
            <w:tcBorders>
              <w:top w:val="nil"/>
              <w:left w:val="nil"/>
              <w:bottom w:val="nil"/>
              <w:right w:val="nil"/>
            </w:tcBorders>
            <w:shd w:val="clear" w:color="000000" w:fill="BFBFBF"/>
            <w:vAlign w:val="center"/>
          </w:tcPr>
          <w:p w14:paraId="0EA85EF6" w14:textId="77777777" w:rsidR="001D0079" w:rsidRPr="00D71342" w:rsidRDefault="001D0079" w:rsidP="003D1399">
            <w:pPr>
              <w:rPr>
                <w:sz w:val="14"/>
                <w:szCs w:val="14"/>
                <w:lang w:eastAsia="es-CO"/>
              </w:rPr>
            </w:pPr>
            <w:r w:rsidRPr="00D71342">
              <w:rPr>
                <w:sz w:val="14"/>
                <w:szCs w:val="14"/>
                <w:lang w:eastAsia="es-CO"/>
              </w:rPr>
              <w:t>Una comunidad integrada con normas sociales compartidas y cultura orientada al desarrollo sostenible crea un entorno social favorable que premie los esfuerzos por la conservación del medio ambiente.</w:t>
            </w:r>
          </w:p>
        </w:tc>
        <w:tc>
          <w:tcPr>
            <w:tcW w:w="2551" w:type="dxa"/>
            <w:tcBorders>
              <w:top w:val="nil"/>
              <w:left w:val="nil"/>
              <w:bottom w:val="nil"/>
              <w:right w:val="nil"/>
            </w:tcBorders>
            <w:shd w:val="clear" w:color="000000" w:fill="BFBFBF"/>
            <w:vAlign w:val="center"/>
          </w:tcPr>
          <w:p w14:paraId="6C4FAD8D" w14:textId="77777777" w:rsidR="001D0079" w:rsidRPr="00D71342" w:rsidRDefault="001D0079" w:rsidP="003D1399">
            <w:pPr>
              <w:rPr>
                <w:sz w:val="14"/>
                <w:szCs w:val="14"/>
                <w:lang w:eastAsia="es-CO"/>
              </w:rPr>
            </w:pPr>
            <w:r w:rsidRPr="00D71342">
              <w:rPr>
                <w:sz w:val="14"/>
                <w:szCs w:val="14"/>
                <w:lang w:eastAsia="es-CO"/>
              </w:rPr>
              <w:t>Prasetyo et al. (2023)</w:t>
            </w:r>
          </w:p>
        </w:tc>
      </w:tr>
      <w:tr w:rsidR="00D71342" w:rsidRPr="00D71342" w14:paraId="6E27B293" w14:textId="77777777" w:rsidTr="001D0079">
        <w:trPr>
          <w:trHeight w:val="56"/>
        </w:trPr>
        <w:tc>
          <w:tcPr>
            <w:tcW w:w="1129" w:type="dxa"/>
            <w:vMerge/>
            <w:tcBorders>
              <w:left w:val="nil"/>
              <w:bottom w:val="single" w:sz="4" w:space="0" w:color="auto"/>
              <w:right w:val="nil"/>
            </w:tcBorders>
            <w:vAlign w:val="center"/>
          </w:tcPr>
          <w:p w14:paraId="73754A2C" w14:textId="77777777" w:rsidR="001D0079" w:rsidRPr="00D71342" w:rsidRDefault="001D0079" w:rsidP="003D1399">
            <w:pPr>
              <w:rPr>
                <w:sz w:val="14"/>
                <w:szCs w:val="14"/>
                <w:lang w:eastAsia="es-CO"/>
              </w:rPr>
            </w:pPr>
          </w:p>
        </w:tc>
        <w:tc>
          <w:tcPr>
            <w:tcW w:w="1495" w:type="dxa"/>
            <w:tcBorders>
              <w:top w:val="nil"/>
              <w:left w:val="nil"/>
              <w:bottom w:val="single" w:sz="4" w:space="0" w:color="auto"/>
              <w:right w:val="nil"/>
            </w:tcBorders>
            <w:vAlign w:val="center"/>
          </w:tcPr>
          <w:p w14:paraId="75AB746A" w14:textId="77777777" w:rsidR="001D0079" w:rsidRPr="00D71342" w:rsidRDefault="001D0079" w:rsidP="003D1399">
            <w:pPr>
              <w:rPr>
                <w:sz w:val="14"/>
                <w:szCs w:val="14"/>
                <w:lang w:eastAsia="es-CO"/>
              </w:rPr>
            </w:pPr>
            <w:r w:rsidRPr="00D71342">
              <w:rPr>
                <w:sz w:val="14"/>
                <w:szCs w:val="14"/>
                <w:lang w:eastAsia="es-CO"/>
              </w:rPr>
              <w:t>Educación en sostenibilidad</w:t>
            </w:r>
          </w:p>
        </w:tc>
        <w:tc>
          <w:tcPr>
            <w:tcW w:w="4747" w:type="dxa"/>
            <w:tcBorders>
              <w:top w:val="nil"/>
              <w:left w:val="nil"/>
              <w:bottom w:val="single" w:sz="4" w:space="0" w:color="auto"/>
              <w:right w:val="nil"/>
            </w:tcBorders>
            <w:vAlign w:val="center"/>
          </w:tcPr>
          <w:p w14:paraId="4D9DFF37" w14:textId="77777777" w:rsidR="001D0079" w:rsidRPr="00D71342" w:rsidRDefault="001D0079" w:rsidP="003D1399">
            <w:pPr>
              <w:rPr>
                <w:sz w:val="14"/>
                <w:szCs w:val="14"/>
                <w:lang w:eastAsia="es-CO"/>
              </w:rPr>
            </w:pPr>
            <w:r w:rsidRPr="00D71342">
              <w:rPr>
                <w:sz w:val="14"/>
                <w:szCs w:val="14"/>
                <w:lang w:eastAsia="es-CO"/>
              </w:rPr>
              <w:t>Pilar fundamental para el desarrollo de competencias verdes en las nuevas generaciones, ya que fortalece el conocimiento técnico, la sensibilidad ecológica y la capacidad para liderar la transformación de la conciencia ambiental en intenciones de emprendimiento y comportamientos empresariales.</w:t>
            </w:r>
          </w:p>
        </w:tc>
        <w:tc>
          <w:tcPr>
            <w:tcW w:w="2551" w:type="dxa"/>
            <w:tcBorders>
              <w:top w:val="nil"/>
              <w:left w:val="nil"/>
              <w:bottom w:val="single" w:sz="4" w:space="0" w:color="auto"/>
              <w:right w:val="nil"/>
            </w:tcBorders>
            <w:vAlign w:val="center"/>
          </w:tcPr>
          <w:p w14:paraId="4154D2CC" w14:textId="77777777" w:rsidR="001D0079" w:rsidRPr="00D71342" w:rsidRDefault="001D0079" w:rsidP="003D1399">
            <w:pPr>
              <w:rPr>
                <w:sz w:val="14"/>
                <w:szCs w:val="14"/>
                <w:lang w:eastAsia="es-CO"/>
              </w:rPr>
            </w:pPr>
            <w:r w:rsidRPr="00D71342">
              <w:rPr>
                <w:sz w:val="14"/>
                <w:szCs w:val="14"/>
                <w:lang w:eastAsia="es-CO"/>
              </w:rPr>
              <w:t>Adjimah et al. (2025)</w:t>
            </w:r>
            <w:r w:rsidRPr="00D71342">
              <w:rPr>
                <w:sz w:val="14"/>
                <w:szCs w:val="14"/>
                <w:lang w:eastAsia="es-CO"/>
              </w:rPr>
              <w:br/>
              <w:t>Yu et al. (2024)</w:t>
            </w:r>
          </w:p>
        </w:tc>
      </w:tr>
    </w:tbl>
    <w:p w14:paraId="67F8E3B9" w14:textId="77777777" w:rsidR="001D0079" w:rsidRPr="00D71342" w:rsidRDefault="001D0079" w:rsidP="001D0079">
      <w:pPr>
        <w:ind w:left="426" w:right="670"/>
        <w:rPr>
          <w:sz w:val="14"/>
          <w:szCs w:val="18"/>
          <w:lang w:val="es-CO"/>
        </w:rPr>
      </w:pPr>
      <w:r w:rsidRPr="00D71342">
        <w:rPr>
          <w:sz w:val="14"/>
          <w:szCs w:val="18"/>
          <w:lang w:val="es-CO"/>
        </w:rPr>
        <w:t>Fuente: Elaboración propia.</w:t>
      </w:r>
    </w:p>
    <w:p w14:paraId="4C5C384E" w14:textId="77777777" w:rsidR="001D0079" w:rsidRPr="00D71342" w:rsidRDefault="001D0079" w:rsidP="003D2473">
      <w:pPr>
        <w:ind w:left="426" w:right="670"/>
        <w:rPr>
          <w:sz w:val="14"/>
          <w:szCs w:val="18"/>
          <w:lang w:val="es-CO"/>
        </w:rPr>
        <w:sectPr w:rsidR="001D0079" w:rsidRPr="00D71342" w:rsidSect="003A6A51">
          <w:type w:val="continuous"/>
          <w:pgSz w:w="12240" w:h="15840"/>
          <w:pgMar w:top="1000" w:right="360" w:bottom="1200" w:left="720" w:header="0" w:footer="1000" w:gutter="0"/>
          <w:cols w:space="71"/>
        </w:sectPr>
      </w:pPr>
    </w:p>
    <w:p w14:paraId="3702EAF2" w14:textId="7F960BE2" w:rsidR="00AD1C7F" w:rsidRPr="00D71342" w:rsidRDefault="00AD1C7F" w:rsidP="00AD1C7F">
      <w:pPr>
        <w:pStyle w:val="Ttulo3"/>
        <w:spacing w:before="240" w:after="240"/>
        <w:ind w:left="426" w:right="670"/>
        <w:jc w:val="center"/>
        <w:sectPr w:rsidR="00AD1C7F" w:rsidRPr="00D71342" w:rsidSect="003A6A51">
          <w:type w:val="continuous"/>
          <w:pgSz w:w="12240" w:h="15840"/>
          <w:pgMar w:top="1000" w:right="360" w:bottom="1200" w:left="720" w:header="0" w:footer="1000" w:gutter="0"/>
          <w:cols w:space="71"/>
        </w:sectPr>
      </w:pPr>
      <w:r w:rsidRPr="00D71342">
        <w:rPr>
          <w:spacing w:val="-6"/>
        </w:rPr>
        <w:t>Tabla 9. Cuadro resumen de los factores que restringen el emprendimiento verde</w:t>
      </w:r>
    </w:p>
    <w:tbl>
      <w:tblPr>
        <w:tblW w:w="9922" w:type="dxa"/>
        <w:tblInd w:w="496" w:type="dxa"/>
        <w:tblCellMar>
          <w:left w:w="70" w:type="dxa"/>
          <w:right w:w="70" w:type="dxa"/>
        </w:tblCellMar>
        <w:tblLook w:val="04A0" w:firstRow="1" w:lastRow="0" w:firstColumn="1" w:lastColumn="0" w:noHBand="0" w:noVBand="1"/>
      </w:tblPr>
      <w:tblGrid>
        <w:gridCol w:w="1134"/>
        <w:gridCol w:w="1560"/>
        <w:gridCol w:w="4741"/>
        <w:gridCol w:w="2487"/>
      </w:tblGrid>
      <w:tr w:rsidR="00D71342" w:rsidRPr="00D71342" w14:paraId="6E306167" w14:textId="77777777" w:rsidTr="00AD1C7F">
        <w:trPr>
          <w:trHeight w:val="162"/>
        </w:trPr>
        <w:tc>
          <w:tcPr>
            <w:tcW w:w="1134" w:type="dxa"/>
            <w:tcBorders>
              <w:top w:val="single" w:sz="4" w:space="0" w:color="auto"/>
              <w:left w:val="nil"/>
              <w:bottom w:val="nil"/>
              <w:right w:val="nil"/>
            </w:tcBorders>
            <w:vAlign w:val="center"/>
            <w:hideMark/>
          </w:tcPr>
          <w:p w14:paraId="193A6D10" w14:textId="77777777" w:rsidR="001D0079" w:rsidRPr="00D71342" w:rsidRDefault="001D0079" w:rsidP="003D1399">
            <w:pPr>
              <w:jc w:val="center"/>
              <w:rPr>
                <w:b/>
                <w:bCs/>
                <w:sz w:val="14"/>
                <w:szCs w:val="14"/>
                <w:lang w:eastAsia="es-CO"/>
              </w:rPr>
            </w:pPr>
            <w:r w:rsidRPr="00D71342">
              <w:rPr>
                <w:b/>
                <w:bCs/>
                <w:sz w:val="14"/>
                <w:szCs w:val="14"/>
                <w:lang w:eastAsia="es-CO"/>
              </w:rPr>
              <w:t>Categoría</w:t>
            </w:r>
          </w:p>
        </w:tc>
        <w:tc>
          <w:tcPr>
            <w:tcW w:w="1560" w:type="dxa"/>
            <w:tcBorders>
              <w:top w:val="single" w:sz="4" w:space="0" w:color="auto"/>
              <w:left w:val="nil"/>
              <w:bottom w:val="nil"/>
              <w:right w:val="nil"/>
            </w:tcBorders>
            <w:vAlign w:val="center"/>
            <w:hideMark/>
          </w:tcPr>
          <w:p w14:paraId="7176CDC9" w14:textId="77777777" w:rsidR="001D0079" w:rsidRPr="00D71342" w:rsidRDefault="001D0079" w:rsidP="003D1399">
            <w:pPr>
              <w:jc w:val="center"/>
              <w:rPr>
                <w:b/>
                <w:bCs/>
                <w:sz w:val="14"/>
                <w:szCs w:val="14"/>
                <w:lang w:eastAsia="es-CO"/>
              </w:rPr>
            </w:pPr>
            <w:r w:rsidRPr="00D71342">
              <w:rPr>
                <w:b/>
                <w:bCs/>
                <w:sz w:val="14"/>
                <w:szCs w:val="14"/>
                <w:lang w:eastAsia="es-CO"/>
              </w:rPr>
              <w:t>Factor</w:t>
            </w:r>
          </w:p>
        </w:tc>
        <w:tc>
          <w:tcPr>
            <w:tcW w:w="4741" w:type="dxa"/>
            <w:tcBorders>
              <w:top w:val="single" w:sz="4" w:space="0" w:color="auto"/>
              <w:left w:val="nil"/>
              <w:bottom w:val="nil"/>
              <w:right w:val="nil"/>
            </w:tcBorders>
            <w:vAlign w:val="center"/>
            <w:hideMark/>
          </w:tcPr>
          <w:p w14:paraId="75C18317" w14:textId="77777777" w:rsidR="001D0079" w:rsidRPr="00D71342" w:rsidRDefault="001D0079" w:rsidP="003D1399">
            <w:pPr>
              <w:jc w:val="center"/>
              <w:rPr>
                <w:b/>
                <w:bCs/>
                <w:sz w:val="14"/>
                <w:szCs w:val="14"/>
                <w:lang w:eastAsia="es-CO"/>
              </w:rPr>
            </w:pPr>
            <w:r w:rsidRPr="00D71342">
              <w:rPr>
                <w:b/>
                <w:bCs/>
                <w:sz w:val="14"/>
                <w:szCs w:val="14"/>
                <w:lang w:eastAsia="es-CO"/>
              </w:rPr>
              <w:t>Descripción</w:t>
            </w:r>
          </w:p>
        </w:tc>
        <w:tc>
          <w:tcPr>
            <w:tcW w:w="2487" w:type="dxa"/>
            <w:tcBorders>
              <w:top w:val="single" w:sz="4" w:space="0" w:color="auto"/>
              <w:left w:val="nil"/>
              <w:bottom w:val="nil"/>
              <w:right w:val="nil"/>
            </w:tcBorders>
            <w:vAlign w:val="center"/>
            <w:hideMark/>
          </w:tcPr>
          <w:p w14:paraId="1BCEF8ED" w14:textId="77777777" w:rsidR="001D0079" w:rsidRPr="00D71342" w:rsidRDefault="001D0079" w:rsidP="003D1399">
            <w:pPr>
              <w:jc w:val="center"/>
              <w:rPr>
                <w:b/>
                <w:bCs/>
                <w:sz w:val="14"/>
                <w:szCs w:val="14"/>
                <w:lang w:eastAsia="es-CO"/>
              </w:rPr>
            </w:pPr>
            <w:r w:rsidRPr="00D71342">
              <w:rPr>
                <w:b/>
                <w:bCs/>
                <w:sz w:val="14"/>
                <w:szCs w:val="14"/>
                <w:lang w:eastAsia="es-CO"/>
              </w:rPr>
              <w:t>Autor(es)</w:t>
            </w:r>
          </w:p>
        </w:tc>
      </w:tr>
      <w:tr w:rsidR="00D71342" w:rsidRPr="00D71342" w14:paraId="1281C7D5" w14:textId="77777777" w:rsidTr="00AD1C7F">
        <w:trPr>
          <w:trHeight w:val="46"/>
        </w:trPr>
        <w:tc>
          <w:tcPr>
            <w:tcW w:w="1134" w:type="dxa"/>
            <w:vMerge w:val="restart"/>
            <w:tcBorders>
              <w:top w:val="single" w:sz="4" w:space="0" w:color="auto"/>
              <w:left w:val="nil"/>
              <w:right w:val="nil"/>
            </w:tcBorders>
            <w:vAlign w:val="center"/>
            <w:hideMark/>
          </w:tcPr>
          <w:p w14:paraId="5115AD4B" w14:textId="77777777" w:rsidR="001D0079" w:rsidRPr="00D71342" w:rsidRDefault="001D0079" w:rsidP="003D1399">
            <w:pPr>
              <w:rPr>
                <w:sz w:val="14"/>
                <w:szCs w:val="14"/>
                <w:lang w:eastAsia="es-CO"/>
              </w:rPr>
            </w:pPr>
            <w:r w:rsidRPr="00D71342">
              <w:rPr>
                <w:sz w:val="14"/>
                <w:szCs w:val="14"/>
                <w:lang w:eastAsia="es-CO"/>
              </w:rPr>
              <w:t>Empresarial</w:t>
            </w:r>
          </w:p>
        </w:tc>
        <w:tc>
          <w:tcPr>
            <w:tcW w:w="1560" w:type="dxa"/>
            <w:tcBorders>
              <w:top w:val="single" w:sz="4" w:space="0" w:color="auto"/>
              <w:left w:val="nil"/>
              <w:bottom w:val="nil"/>
              <w:right w:val="nil"/>
            </w:tcBorders>
            <w:shd w:val="clear" w:color="000000" w:fill="BFBFBF"/>
            <w:vAlign w:val="center"/>
            <w:hideMark/>
          </w:tcPr>
          <w:p w14:paraId="47A60045" w14:textId="77777777" w:rsidR="001D0079" w:rsidRPr="00D71342" w:rsidRDefault="001D0079" w:rsidP="003D1399">
            <w:pPr>
              <w:rPr>
                <w:sz w:val="14"/>
                <w:szCs w:val="14"/>
                <w:lang w:eastAsia="es-CO"/>
              </w:rPr>
            </w:pPr>
            <w:r w:rsidRPr="00D71342">
              <w:rPr>
                <w:sz w:val="14"/>
                <w:szCs w:val="14"/>
                <w:lang w:eastAsia="es-CO"/>
              </w:rPr>
              <w:t>Falta de planificación y orientación estratégica</w:t>
            </w:r>
          </w:p>
        </w:tc>
        <w:tc>
          <w:tcPr>
            <w:tcW w:w="4741" w:type="dxa"/>
            <w:tcBorders>
              <w:top w:val="single" w:sz="4" w:space="0" w:color="auto"/>
              <w:left w:val="nil"/>
              <w:bottom w:val="nil"/>
              <w:right w:val="nil"/>
            </w:tcBorders>
            <w:shd w:val="clear" w:color="000000" w:fill="BFBFBF"/>
            <w:vAlign w:val="center"/>
            <w:hideMark/>
          </w:tcPr>
          <w:p w14:paraId="466531BB" w14:textId="77777777" w:rsidR="001D0079" w:rsidRPr="00D71342" w:rsidRDefault="001D0079" w:rsidP="003D1399">
            <w:pPr>
              <w:rPr>
                <w:sz w:val="14"/>
                <w:szCs w:val="14"/>
                <w:lang w:eastAsia="es-CO"/>
              </w:rPr>
            </w:pPr>
            <w:r w:rsidRPr="00D71342">
              <w:rPr>
                <w:sz w:val="14"/>
                <w:szCs w:val="14"/>
                <w:lang w:eastAsia="es-CO"/>
              </w:rPr>
              <w:t>La ausencia de una planificación y estrategia proactiva hacia la sostenibilidad en las empresas impide proyectar una coherencia ecológica en sus operaciones diarias, lo que limita la capacidad de innovar y competir en el mercado verde, manteniendo modelos de negocio tradicionales, y resistiéndose a adoptar nuevas prácticas sostenibles debido a la resistencia organizativa y el temor de asumir riesgo por la innovación.</w:t>
            </w:r>
          </w:p>
        </w:tc>
        <w:tc>
          <w:tcPr>
            <w:tcW w:w="2487" w:type="dxa"/>
            <w:tcBorders>
              <w:top w:val="single" w:sz="4" w:space="0" w:color="auto"/>
              <w:left w:val="nil"/>
              <w:bottom w:val="nil"/>
              <w:right w:val="nil"/>
            </w:tcBorders>
            <w:shd w:val="clear" w:color="000000" w:fill="BFBFBF"/>
            <w:vAlign w:val="center"/>
            <w:hideMark/>
          </w:tcPr>
          <w:p w14:paraId="3331A488" w14:textId="4021A40D" w:rsidR="001D0079" w:rsidRPr="00D71342" w:rsidRDefault="001D0079" w:rsidP="003D1399">
            <w:pPr>
              <w:rPr>
                <w:sz w:val="14"/>
                <w:szCs w:val="14"/>
                <w:lang w:eastAsia="es-CO"/>
              </w:rPr>
            </w:pPr>
            <w:r w:rsidRPr="00D71342">
              <w:rPr>
                <w:sz w:val="14"/>
                <w:szCs w:val="14"/>
                <w:lang w:eastAsia="es-CO"/>
              </w:rPr>
              <w:t>Lemaire et al. (2022)</w:t>
            </w:r>
            <w:r w:rsidRPr="00D71342">
              <w:rPr>
                <w:sz w:val="14"/>
                <w:szCs w:val="14"/>
                <w:lang w:eastAsia="es-CO"/>
              </w:rPr>
              <w:br/>
              <w:t>Rajkamal et al. (202</w:t>
            </w:r>
            <w:r w:rsidR="00EA0DD4" w:rsidRPr="00D71342">
              <w:rPr>
                <w:sz w:val="14"/>
                <w:szCs w:val="14"/>
                <w:lang w:eastAsia="es-CO"/>
              </w:rPr>
              <w:t>2</w:t>
            </w:r>
            <w:r w:rsidRPr="00D71342">
              <w:rPr>
                <w:sz w:val="14"/>
                <w:szCs w:val="14"/>
                <w:lang w:eastAsia="es-CO"/>
              </w:rPr>
              <w:t>)</w:t>
            </w:r>
            <w:r w:rsidRPr="00D71342">
              <w:rPr>
                <w:sz w:val="14"/>
                <w:szCs w:val="14"/>
                <w:lang w:eastAsia="es-CO"/>
              </w:rPr>
              <w:br/>
              <w:t>Sarvari et al. (2023)</w:t>
            </w:r>
          </w:p>
        </w:tc>
      </w:tr>
      <w:tr w:rsidR="00D71342" w:rsidRPr="00D71342" w14:paraId="30013698" w14:textId="77777777" w:rsidTr="00AD1C7F">
        <w:trPr>
          <w:trHeight w:val="56"/>
        </w:trPr>
        <w:tc>
          <w:tcPr>
            <w:tcW w:w="1134" w:type="dxa"/>
            <w:vMerge/>
            <w:tcBorders>
              <w:left w:val="nil"/>
              <w:right w:val="nil"/>
            </w:tcBorders>
            <w:vAlign w:val="center"/>
            <w:hideMark/>
          </w:tcPr>
          <w:p w14:paraId="17DBE25D" w14:textId="77777777" w:rsidR="001D0079" w:rsidRPr="00D71342" w:rsidRDefault="001D0079" w:rsidP="003D1399">
            <w:pPr>
              <w:rPr>
                <w:sz w:val="14"/>
                <w:szCs w:val="14"/>
                <w:lang w:eastAsia="es-CO"/>
              </w:rPr>
            </w:pPr>
          </w:p>
        </w:tc>
        <w:tc>
          <w:tcPr>
            <w:tcW w:w="1560" w:type="dxa"/>
            <w:tcBorders>
              <w:top w:val="nil"/>
              <w:left w:val="nil"/>
              <w:bottom w:val="nil"/>
              <w:right w:val="nil"/>
            </w:tcBorders>
            <w:vAlign w:val="center"/>
            <w:hideMark/>
          </w:tcPr>
          <w:p w14:paraId="6987D529" w14:textId="77777777" w:rsidR="001D0079" w:rsidRPr="00D71342" w:rsidRDefault="001D0079" w:rsidP="003D1399">
            <w:pPr>
              <w:rPr>
                <w:sz w:val="14"/>
                <w:szCs w:val="14"/>
                <w:lang w:eastAsia="es-CO"/>
              </w:rPr>
            </w:pPr>
            <w:r w:rsidRPr="00D71342">
              <w:rPr>
                <w:sz w:val="14"/>
                <w:szCs w:val="14"/>
                <w:lang w:eastAsia="es-CO"/>
              </w:rPr>
              <w:t>Limitaciones de recursos y capacidades</w:t>
            </w:r>
          </w:p>
        </w:tc>
        <w:tc>
          <w:tcPr>
            <w:tcW w:w="4741" w:type="dxa"/>
            <w:tcBorders>
              <w:top w:val="nil"/>
              <w:left w:val="nil"/>
              <w:bottom w:val="nil"/>
              <w:right w:val="nil"/>
            </w:tcBorders>
            <w:vAlign w:val="center"/>
            <w:hideMark/>
          </w:tcPr>
          <w:p w14:paraId="1B097BC2" w14:textId="77777777" w:rsidR="001D0079" w:rsidRPr="00D71342" w:rsidRDefault="001D0079" w:rsidP="003D1399">
            <w:pPr>
              <w:rPr>
                <w:sz w:val="14"/>
                <w:szCs w:val="14"/>
                <w:lang w:eastAsia="es-CO"/>
              </w:rPr>
            </w:pPr>
            <w:r w:rsidRPr="00D71342">
              <w:rPr>
                <w:sz w:val="14"/>
                <w:szCs w:val="14"/>
                <w:lang w:eastAsia="es-CO"/>
              </w:rPr>
              <w:t>Las empresas sostenibles requieren de capacidades complejas para el desarrollo e implementación de tecnologías ecológicas, sin embargo, a menudo no disponen de los recursos especializados, por consiguiente, prolonga su proceso de entrada al mercado verde, aumenta la dependencia de capitales externos y limita la viabilidad a largo plazo.</w:t>
            </w:r>
          </w:p>
        </w:tc>
        <w:tc>
          <w:tcPr>
            <w:tcW w:w="2487" w:type="dxa"/>
            <w:tcBorders>
              <w:top w:val="nil"/>
              <w:left w:val="nil"/>
              <w:bottom w:val="nil"/>
              <w:right w:val="nil"/>
            </w:tcBorders>
            <w:vAlign w:val="center"/>
            <w:hideMark/>
          </w:tcPr>
          <w:p w14:paraId="55DD909A" w14:textId="73FB1102" w:rsidR="001D0079" w:rsidRPr="00D71342" w:rsidRDefault="001D0079" w:rsidP="003D1399">
            <w:pPr>
              <w:rPr>
                <w:sz w:val="14"/>
                <w:szCs w:val="14"/>
                <w:lang w:eastAsia="es-CO"/>
              </w:rPr>
            </w:pPr>
            <w:r w:rsidRPr="00D71342">
              <w:rPr>
                <w:sz w:val="14"/>
                <w:szCs w:val="14"/>
                <w:lang w:eastAsia="es-CO"/>
              </w:rPr>
              <w:t>Al-Mamary (2025)</w:t>
            </w:r>
            <w:r w:rsidRPr="00D71342">
              <w:rPr>
                <w:sz w:val="14"/>
                <w:szCs w:val="14"/>
                <w:lang w:eastAsia="es-CO"/>
              </w:rPr>
              <w:br/>
              <w:t>Ferreira y Ferreira (2023)</w:t>
            </w:r>
            <w:r w:rsidRPr="00D71342">
              <w:rPr>
                <w:sz w:val="14"/>
                <w:szCs w:val="14"/>
                <w:lang w:eastAsia="es-CO"/>
              </w:rPr>
              <w:br/>
              <w:t>Rajkamal et al. (202</w:t>
            </w:r>
            <w:r w:rsidR="00EA0DD4" w:rsidRPr="00D71342">
              <w:rPr>
                <w:sz w:val="14"/>
                <w:szCs w:val="14"/>
                <w:lang w:eastAsia="es-CO"/>
              </w:rPr>
              <w:t>2</w:t>
            </w:r>
            <w:r w:rsidRPr="00D71342">
              <w:rPr>
                <w:sz w:val="14"/>
                <w:szCs w:val="14"/>
                <w:lang w:eastAsia="es-CO"/>
              </w:rPr>
              <w:t>)</w:t>
            </w:r>
            <w:r w:rsidRPr="00D71342">
              <w:rPr>
                <w:sz w:val="14"/>
                <w:szCs w:val="14"/>
                <w:lang w:eastAsia="es-CO"/>
              </w:rPr>
              <w:br/>
              <w:t>Speckemeier y Tsivrikos (2022)</w:t>
            </w:r>
            <w:r w:rsidRPr="00D71342">
              <w:rPr>
                <w:sz w:val="14"/>
                <w:szCs w:val="14"/>
                <w:lang w:eastAsia="es-CO"/>
              </w:rPr>
              <w:br/>
              <w:t>Sugiyanto et al. (2024)</w:t>
            </w:r>
          </w:p>
        </w:tc>
      </w:tr>
      <w:tr w:rsidR="00D71342" w:rsidRPr="00D71342" w14:paraId="1926AD12" w14:textId="77777777" w:rsidTr="00AD1C7F">
        <w:trPr>
          <w:trHeight w:val="56"/>
        </w:trPr>
        <w:tc>
          <w:tcPr>
            <w:tcW w:w="1134" w:type="dxa"/>
            <w:vMerge/>
            <w:tcBorders>
              <w:left w:val="nil"/>
              <w:bottom w:val="single" w:sz="4" w:space="0" w:color="auto"/>
              <w:right w:val="nil"/>
            </w:tcBorders>
            <w:vAlign w:val="center"/>
            <w:hideMark/>
          </w:tcPr>
          <w:p w14:paraId="3998261B" w14:textId="77777777" w:rsidR="001D0079" w:rsidRPr="00D71342" w:rsidRDefault="001D0079" w:rsidP="003D1399">
            <w:pPr>
              <w:rPr>
                <w:sz w:val="14"/>
                <w:szCs w:val="14"/>
                <w:lang w:eastAsia="es-CO"/>
              </w:rPr>
            </w:pPr>
          </w:p>
        </w:tc>
        <w:tc>
          <w:tcPr>
            <w:tcW w:w="1560" w:type="dxa"/>
            <w:tcBorders>
              <w:top w:val="nil"/>
              <w:left w:val="nil"/>
              <w:bottom w:val="nil"/>
              <w:right w:val="nil"/>
            </w:tcBorders>
            <w:shd w:val="clear" w:color="000000" w:fill="BFBFBF"/>
            <w:vAlign w:val="center"/>
            <w:hideMark/>
          </w:tcPr>
          <w:p w14:paraId="1CFABF30" w14:textId="77777777" w:rsidR="001D0079" w:rsidRPr="00D71342" w:rsidRDefault="001D0079" w:rsidP="003D1399">
            <w:pPr>
              <w:rPr>
                <w:sz w:val="14"/>
                <w:szCs w:val="14"/>
                <w:lang w:eastAsia="es-CO"/>
              </w:rPr>
            </w:pPr>
            <w:r w:rsidRPr="00D71342">
              <w:rPr>
                <w:sz w:val="14"/>
                <w:szCs w:val="14"/>
                <w:lang w:eastAsia="es-CO"/>
              </w:rPr>
              <w:t>Resistencia al cambio organizacional</w:t>
            </w:r>
          </w:p>
        </w:tc>
        <w:tc>
          <w:tcPr>
            <w:tcW w:w="4741" w:type="dxa"/>
            <w:tcBorders>
              <w:top w:val="nil"/>
              <w:left w:val="nil"/>
              <w:bottom w:val="nil"/>
              <w:right w:val="nil"/>
            </w:tcBorders>
            <w:shd w:val="clear" w:color="000000" w:fill="BFBFBF"/>
            <w:vAlign w:val="center"/>
            <w:hideMark/>
          </w:tcPr>
          <w:p w14:paraId="5A85650F" w14:textId="77777777" w:rsidR="001D0079" w:rsidRPr="00D71342" w:rsidRDefault="001D0079" w:rsidP="003D1399">
            <w:pPr>
              <w:rPr>
                <w:sz w:val="14"/>
                <w:szCs w:val="14"/>
                <w:lang w:eastAsia="es-CO"/>
              </w:rPr>
            </w:pPr>
            <w:r w:rsidRPr="00D71342">
              <w:rPr>
                <w:sz w:val="14"/>
                <w:szCs w:val="14"/>
                <w:lang w:eastAsia="es-CO"/>
              </w:rPr>
              <w:t>Dificulta la transición exitosa hacia modelos de negocio sostenible, debido al temor a pérdidas imprevistas o a la alteración del modelo de negocio convencional.</w:t>
            </w:r>
          </w:p>
        </w:tc>
        <w:tc>
          <w:tcPr>
            <w:tcW w:w="2487" w:type="dxa"/>
            <w:tcBorders>
              <w:top w:val="nil"/>
              <w:left w:val="nil"/>
              <w:bottom w:val="nil"/>
              <w:right w:val="nil"/>
            </w:tcBorders>
            <w:shd w:val="clear" w:color="000000" w:fill="BFBFBF"/>
            <w:vAlign w:val="center"/>
            <w:hideMark/>
          </w:tcPr>
          <w:p w14:paraId="4A82DB5F" w14:textId="77777777" w:rsidR="001D0079" w:rsidRPr="00D71342" w:rsidRDefault="001D0079" w:rsidP="003D1399">
            <w:pPr>
              <w:rPr>
                <w:sz w:val="14"/>
                <w:szCs w:val="14"/>
                <w:lang w:eastAsia="es-CO"/>
              </w:rPr>
            </w:pPr>
            <w:r w:rsidRPr="00D71342">
              <w:rPr>
                <w:sz w:val="14"/>
                <w:szCs w:val="14"/>
                <w:lang w:eastAsia="es-CO"/>
              </w:rPr>
              <w:t>Ferreira y Ferreira (2023)</w:t>
            </w:r>
            <w:r w:rsidRPr="00D71342">
              <w:rPr>
                <w:sz w:val="14"/>
                <w:szCs w:val="14"/>
                <w:lang w:eastAsia="es-CO"/>
              </w:rPr>
              <w:br/>
              <w:t>Lemaire et al. (2022)</w:t>
            </w:r>
            <w:r w:rsidRPr="00D71342">
              <w:rPr>
                <w:sz w:val="14"/>
                <w:szCs w:val="14"/>
                <w:lang w:eastAsia="es-CO"/>
              </w:rPr>
              <w:br/>
              <w:t>Speckemeier y Tsivrikos (2022)</w:t>
            </w:r>
          </w:p>
        </w:tc>
      </w:tr>
      <w:tr w:rsidR="00D71342" w:rsidRPr="00D71342" w14:paraId="65E20CB0" w14:textId="77777777" w:rsidTr="00AD1C7F">
        <w:trPr>
          <w:trHeight w:val="46"/>
        </w:trPr>
        <w:tc>
          <w:tcPr>
            <w:tcW w:w="1134" w:type="dxa"/>
            <w:vMerge w:val="restart"/>
            <w:tcBorders>
              <w:top w:val="single" w:sz="4" w:space="0" w:color="auto"/>
              <w:left w:val="nil"/>
              <w:bottom w:val="single" w:sz="4" w:space="0" w:color="auto"/>
              <w:right w:val="nil"/>
            </w:tcBorders>
            <w:vAlign w:val="center"/>
            <w:hideMark/>
          </w:tcPr>
          <w:p w14:paraId="7BCA520B" w14:textId="77777777" w:rsidR="001D0079" w:rsidRPr="00D71342" w:rsidRDefault="001D0079" w:rsidP="003D1399">
            <w:pPr>
              <w:rPr>
                <w:sz w:val="14"/>
                <w:szCs w:val="14"/>
                <w:lang w:eastAsia="es-CO"/>
              </w:rPr>
            </w:pPr>
            <w:r w:rsidRPr="00D71342">
              <w:rPr>
                <w:sz w:val="14"/>
                <w:szCs w:val="14"/>
                <w:lang w:eastAsia="es-CO"/>
              </w:rPr>
              <w:t>Económicos</w:t>
            </w:r>
          </w:p>
        </w:tc>
        <w:tc>
          <w:tcPr>
            <w:tcW w:w="1560" w:type="dxa"/>
            <w:tcBorders>
              <w:top w:val="single" w:sz="4" w:space="0" w:color="auto"/>
              <w:left w:val="nil"/>
              <w:bottom w:val="nil"/>
              <w:right w:val="nil"/>
            </w:tcBorders>
            <w:vAlign w:val="center"/>
            <w:hideMark/>
          </w:tcPr>
          <w:p w14:paraId="1BBA6D47" w14:textId="77777777" w:rsidR="001D0079" w:rsidRPr="00D71342" w:rsidRDefault="001D0079" w:rsidP="003D1399">
            <w:pPr>
              <w:rPr>
                <w:sz w:val="14"/>
                <w:szCs w:val="14"/>
                <w:lang w:eastAsia="es-CO"/>
              </w:rPr>
            </w:pPr>
            <w:r w:rsidRPr="00D71342">
              <w:rPr>
                <w:sz w:val="14"/>
                <w:szCs w:val="14"/>
                <w:lang w:eastAsia="es-CO"/>
              </w:rPr>
              <w:t>Riesgo financiero de los productos</w:t>
            </w:r>
          </w:p>
        </w:tc>
        <w:tc>
          <w:tcPr>
            <w:tcW w:w="4741" w:type="dxa"/>
            <w:tcBorders>
              <w:top w:val="single" w:sz="4" w:space="0" w:color="auto"/>
              <w:left w:val="nil"/>
              <w:bottom w:val="nil"/>
              <w:right w:val="nil"/>
            </w:tcBorders>
            <w:vAlign w:val="center"/>
            <w:hideMark/>
          </w:tcPr>
          <w:p w14:paraId="59FF0B3E" w14:textId="77777777" w:rsidR="001D0079" w:rsidRPr="00D71342" w:rsidRDefault="001D0079" w:rsidP="003D1399">
            <w:pPr>
              <w:rPr>
                <w:sz w:val="14"/>
                <w:szCs w:val="14"/>
                <w:lang w:eastAsia="es-CO"/>
              </w:rPr>
            </w:pPr>
            <w:r w:rsidRPr="00D71342">
              <w:rPr>
                <w:sz w:val="14"/>
                <w:szCs w:val="14"/>
                <w:lang w:eastAsia="es-CO"/>
              </w:rPr>
              <w:t xml:space="preserve">Incertidumbre de tiempos de recuperación de la inversión, debido a las condiciones desfavorables ante la competencia ya sea por los elevados costos de producción o las certificaciones ambientales. </w:t>
            </w:r>
          </w:p>
        </w:tc>
        <w:tc>
          <w:tcPr>
            <w:tcW w:w="2487" w:type="dxa"/>
            <w:tcBorders>
              <w:top w:val="single" w:sz="4" w:space="0" w:color="auto"/>
              <w:left w:val="nil"/>
              <w:bottom w:val="nil"/>
              <w:right w:val="nil"/>
            </w:tcBorders>
            <w:vAlign w:val="center"/>
            <w:hideMark/>
          </w:tcPr>
          <w:p w14:paraId="285F2A2F" w14:textId="02849697" w:rsidR="001D0079" w:rsidRPr="00D71342" w:rsidRDefault="001D0079" w:rsidP="003D1399">
            <w:pPr>
              <w:rPr>
                <w:sz w:val="14"/>
                <w:szCs w:val="14"/>
                <w:lang w:eastAsia="es-CO"/>
              </w:rPr>
            </w:pPr>
            <w:r w:rsidRPr="00D71342">
              <w:rPr>
                <w:sz w:val="14"/>
                <w:szCs w:val="14"/>
                <w:lang w:eastAsia="es-CO"/>
              </w:rPr>
              <w:t>Potluri et al. (2024)</w:t>
            </w:r>
            <w:r w:rsidRPr="00D71342">
              <w:rPr>
                <w:sz w:val="14"/>
                <w:szCs w:val="14"/>
                <w:lang w:eastAsia="es-CO"/>
              </w:rPr>
              <w:br/>
              <w:t>Rajkamal et al. (202</w:t>
            </w:r>
            <w:r w:rsidR="00EA0DD4" w:rsidRPr="00D71342">
              <w:rPr>
                <w:sz w:val="14"/>
                <w:szCs w:val="14"/>
                <w:lang w:eastAsia="es-CO"/>
              </w:rPr>
              <w:t>2</w:t>
            </w:r>
            <w:r w:rsidRPr="00D71342">
              <w:rPr>
                <w:sz w:val="14"/>
                <w:szCs w:val="14"/>
                <w:lang w:eastAsia="es-CO"/>
              </w:rPr>
              <w:t>)</w:t>
            </w:r>
            <w:r w:rsidRPr="00D71342">
              <w:rPr>
                <w:sz w:val="14"/>
                <w:szCs w:val="14"/>
                <w:lang w:eastAsia="es-CO"/>
              </w:rPr>
              <w:br/>
              <w:t>Sarvari et al. (2023)</w:t>
            </w:r>
            <w:r w:rsidRPr="00D71342">
              <w:rPr>
                <w:sz w:val="14"/>
                <w:szCs w:val="14"/>
                <w:lang w:eastAsia="es-CO"/>
              </w:rPr>
              <w:br/>
              <w:t>Speckemeier y Tsivrikos (2022)</w:t>
            </w:r>
            <w:r w:rsidRPr="00D71342">
              <w:rPr>
                <w:sz w:val="14"/>
                <w:szCs w:val="14"/>
                <w:lang w:eastAsia="es-CO"/>
              </w:rPr>
              <w:br/>
              <w:t>Yang et al. (2021)</w:t>
            </w:r>
          </w:p>
        </w:tc>
      </w:tr>
      <w:tr w:rsidR="00D71342" w:rsidRPr="00D71342" w14:paraId="258A5A63" w14:textId="77777777" w:rsidTr="00AD1C7F">
        <w:trPr>
          <w:trHeight w:val="46"/>
        </w:trPr>
        <w:tc>
          <w:tcPr>
            <w:tcW w:w="1134" w:type="dxa"/>
            <w:vMerge/>
            <w:tcBorders>
              <w:left w:val="nil"/>
              <w:bottom w:val="single" w:sz="4" w:space="0" w:color="auto"/>
              <w:right w:val="nil"/>
            </w:tcBorders>
            <w:vAlign w:val="center"/>
            <w:hideMark/>
          </w:tcPr>
          <w:p w14:paraId="2C0D9DF2" w14:textId="77777777" w:rsidR="001D0079" w:rsidRPr="00D71342" w:rsidRDefault="001D0079" w:rsidP="003D1399">
            <w:pPr>
              <w:rPr>
                <w:sz w:val="14"/>
                <w:szCs w:val="14"/>
                <w:lang w:eastAsia="es-CO"/>
              </w:rPr>
            </w:pPr>
          </w:p>
        </w:tc>
        <w:tc>
          <w:tcPr>
            <w:tcW w:w="1560" w:type="dxa"/>
            <w:tcBorders>
              <w:top w:val="nil"/>
              <w:left w:val="nil"/>
              <w:right w:val="nil"/>
            </w:tcBorders>
            <w:shd w:val="clear" w:color="000000" w:fill="BFBFBF"/>
            <w:vAlign w:val="center"/>
            <w:hideMark/>
          </w:tcPr>
          <w:p w14:paraId="217116DF" w14:textId="77777777" w:rsidR="001D0079" w:rsidRPr="00D71342" w:rsidRDefault="001D0079" w:rsidP="003D1399">
            <w:pPr>
              <w:rPr>
                <w:sz w:val="14"/>
                <w:szCs w:val="14"/>
                <w:lang w:eastAsia="es-CO"/>
              </w:rPr>
            </w:pPr>
            <w:r w:rsidRPr="00D71342">
              <w:rPr>
                <w:sz w:val="14"/>
                <w:szCs w:val="14"/>
                <w:lang w:eastAsia="es-CO"/>
              </w:rPr>
              <w:t>Reducción de asignaciones presupuestarias y financiamiento</w:t>
            </w:r>
          </w:p>
        </w:tc>
        <w:tc>
          <w:tcPr>
            <w:tcW w:w="4741" w:type="dxa"/>
            <w:tcBorders>
              <w:top w:val="nil"/>
              <w:left w:val="nil"/>
              <w:right w:val="nil"/>
            </w:tcBorders>
            <w:shd w:val="clear" w:color="000000" w:fill="BFBFBF"/>
            <w:vAlign w:val="center"/>
            <w:hideMark/>
          </w:tcPr>
          <w:p w14:paraId="0A872735" w14:textId="77777777" w:rsidR="001D0079" w:rsidRPr="00D71342" w:rsidRDefault="001D0079" w:rsidP="003D1399">
            <w:pPr>
              <w:rPr>
                <w:sz w:val="14"/>
                <w:szCs w:val="14"/>
                <w:lang w:eastAsia="es-CO"/>
              </w:rPr>
            </w:pPr>
            <w:r w:rsidRPr="00D71342">
              <w:rPr>
                <w:sz w:val="14"/>
                <w:szCs w:val="14"/>
                <w:lang w:eastAsia="es-CO"/>
              </w:rPr>
              <w:t>La dificultad para acceder a capital es una de las barreras más críticas, ya sea por falta de garantías, desconocimiento de líneas de crédito verde o ausencia de incentivos fiscales; además, los inversores y los bancos tienden a percibir las ecotecnologías como activos de alto riesgo con periodo de recuperación de la inversión inciertos.</w:t>
            </w:r>
          </w:p>
        </w:tc>
        <w:tc>
          <w:tcPr>
            <w:tcW w:w="2487" w:type="dxa"/>
            <w:tcBorders>
              <w:top w:val="nil"/>
              <w:left w:val="nil"/>
              <w:right w:val="nil"/>
            </w:tcBorders>
            <w:shd w:val="clear" w:color="000000" w:fill="BFBFBF"/>
            <w:vAlign w:val="center"/>
            <w:hideMark/>
          </w:tcPr>
          <w:p w14:paraId="7DF7C696" w14:textId="77777777" w:rsidR="001D0079" w:rsidRPr="00D71342" w:rsidRDefault="001D0079" w:rsidP="003D1399">
            <w:pPr>
              <w:rPr>
                <w:sz w:val="14"/>
                <w:szCs w:val="14"/>
                <w:lang w:eastAsia="es-CO"/>
              </w:rPr>
            </w:pPr>
            <w:r w:rsidRPr="00D71342">
              <w:rPr>
                <w:sz w:val="14"/>
                <w:szCs w:val="14"/>
                <w:lang w:eastAsia="es-CO"/>
              </w:rPr>
              <w:t>Ferreira y Ferreira (2023)</w:t>
            </w:r>
            <w:r w:rsidRPr="00D71342">
              <w:rPr>
                <w:sz w:val="14"/>
                <w:szCs w:val="14"/>
                <w:lang w:eastAsia="es-CO"/>
              </w:rPr>
              <w:br/>
              <w:t>Reza-Gharehbagh et al. (2022)</w:t>
            </w:r>
            <w:r w:rsidRPr="00D71342">
              <w:rPr>
                <w:sz w:val="14"/>
                <w:szCs w:val="14"/>
                <w:lang w:eastAsia="es-CO"/>
              </w:rPr>
              <w:br/>
              <w:t>Stadnyk et al. (2021)</w:t>
            </w:r>
            <w:r w:rsidRPr="00D71342">
              <w:rPr>
                <w:sz w:val="14"/>
                <w:szCs w:val="14"/>
                <w:lang w:eastAsia="es-CO"/>
              </w:rPr>
              <w:br/>
              <w:t>Sugiyanto et al. (2024)</w:t>
            </w:r>
          </w:p>
        </w:tc>
      </w:tr>
      <w:tr w:rsidR="00D71342" w:rsidRPr="00D71342" w14:paraId="1A11AEAB" w14:textId="77777777" w:rsidTr="00AD1C7F">
        <w:trPr>
          <w:trHeight w:val="46"/>
        </w:trPr>
        <w:tc>
          <w:tcPr>
            <w:tcW w:w="1134" w:type="dxa"/>
            <w:vMerge/>
            <w:tcBorders>
              <w:left w:val="nil"/>
              <w:bottom w:val="single" w:sz="4" w:space="0" w:color="000000"/>
              <w:right w:val="nil"/>
            </w:tcBorders>
            <w:vAlign w:val="center"/>
            <w:hideMark/>
          </w:tcPr>
          <w:p w14:paraId="47BA3F09" w14:textId="77777777" w:rsidR="001D0079" w:rsidRPr="00D71342" w:rsidRDefault="001D0079" w:rsidP="003D1399">
            <w:pPr>
              <w:rPr>
                <w:sz w:val="14"/>
                <w:szCs w:val="14"/>
                <w:lang w:eastAsia="es-CO"/>
              </w:rPr>
            </w:pPr>
          </w:p>
        </w:tc>
        <w:tc>
          <w:tcPr>
            <w:tcW w:w="1560" w:type="dxa"/>
            <w:tcBorders>
              <w:top w:val="nil"/>
              <w:left w:val="nil"/>
              <w:bottom w:val="single" w:sz="4" w:space="0" w:color="000000"/>
              <w:right w:val="nil"/>
            </w:tcBorders>
            <w:vAlign w:val="center"/>
            <w:hideMark/>
          </w:tcPr>
          <w:p w14:paraId="4F112984" w14:textId="77777777" w:rsidR="001D0079" w:rsidRPr="00D71342" w:rsidRDefault="001D0079" w:rsidP="003D1399">
            <w:pPr>
              <w:rPr>
                <w:sz w:val="14"/>
                <w:szCs w:val="14"/>
                <w:lang w:eastAsia="es-CO"/>
              </w:rPr>
            </w:pPr>
            <w:r w:rsidRPr="00D71342">
              <w:rPr>
                <w:sz w:val="14"/>
                <w:szCs w:val="14"/>
                <w:lang w:eastAsia="es-CO"/>
              </w:rPr>
              <w:t>Condiciones competitivas desiguales</w:t>
            </w:r>
          </w:p>
        </w:tc>
        <w:tc>
          <w:tcPr>
            <w:tcW w:w="4741" w:type="dxa"/>
            <w:tcBorders>
              <w:top w:val="nil"/>
              <w:left w:val="nil"/>
              <w:bottom w:val="single" w:sz="4" w:space="0" w:color="000000"/>
              <w:right w:val="nil"/>
            </w:tcBorders>
            <w:vAlign w:val="center"/>
            <w:hideMark/>
          </w:tcPr>
          <w:p w14:paraId="60728059" w14:textId="77777777" w:rsidR="001D0079" w:rsidRPr="00D71342" w:rsidRDefault="001D0079" w:rsidP="003D1399">
            <w:pPr>
              <w:rPr>
                <w:sz w:val="14"/>
                <w:szCs w:val="14"/>
                <w:lang w:eastAsia="es-CO"/>
              </w:rPr>
            </w:pPr>
            <w:r w:rsidRPr="00D71342">
              <w:rPr>
                <w:sz w:val="14"/>
                <w:szCs w:val="14"/>
                <w:lang w:eastAsia="es-CO"/>
              </w:rPr>
              <w:t>Los menores costos y economías de escala constituyen este factor importante en las decisiones de comparar de los consumidores; provocando que los emprendimientos verdes compitan desventajosamente contra empresas establecidas.</w:t>
            </w:r>
          </w:p>
        </w:tc>
        <w:tc>
          <w:tcPr>
            <w:tcW w:w="2487" w:type="dxa"/>
            <w:tcBorders>
              <w:top w:val="nil"/>
              <w:left w:val="nil"/>
              <w:bottom w:val="single" w:sz="4" w:space="0" w:color="000000"/>
              <w:right w:val="nil"/>
            </w:tcBorders>
            <w:vAlign w:val="center"/>
            <w:hideMark/>
          </w:tcPr>
          <w:p w14:paraId="23B2B68B" w14:textId="77777777" w:rsidR="001D0079" w:rsidRPr="00D71342" w:rsidRDefault="001D0079" w:rsidP="003D1399">
            <w:pPr>
              <w:rPr>
                <w:sz w:val="14"/>
                <w:szCs w:val="14"/>
                <w:lang w:eastAsia="es-CO"/>
              </w:rPr>
            </w:pPr>
            <w:r w:rsidRPr="00D71342">
              <w:rPr>
                <w:sz w:val="14"/>
                <w:szCs w:val="14"/>
                <w:lang w:eastAsia="es-CO"/>
              </w:rPr>
              <w:t>Potluri et al. (2024)</w:t>
            </w:r>
            <w:r w:rsidRPr="00D71342">
              <w:rPr>
                <w:sz w:val="14"/>
                <w:szCs w:val="14"/>
                <w:lang w:eastAsia="es-CO"/>
              </w:rPr>
              <w:br/>
              <w:t>Speckemeier y Tsivrikos (2022)</w:t>
            </w:r>
            <w:r w:rsidRPr="00D71342">
              <w:rPr>
                <w:sz w:val="14"/>
                <w:szCs w:val="14"/>
                <w:lang w:eastAsia="es-CO"/>
              </w:rPr>
              <w:br/>
              <w:t>Yang et al. (2021)</w:t>
            </w:r>
          </w:p>
        </w:tc>
      </w:tr>
    </w:tbl>
    <w:p w14:paraId="558747C3" w14:textId="77777777" w:rsidR="00AD1C7F" w:rsidRPr="00D71342" w:rsidRDefault="00AD1C7F" w:rsidP="00AD1C7F">
      <w:pPr>
        <w:ind w:left="426" w:right="670"/>
        <w:rPr>
          <w:sz w:val="14"/>
          <w:szCs w:val="18"/>
          <w:lang w:val="es-CO"/>
        </w:rPr>
      </w:pPr>
      <w:r w:rsidRPr="00D71342">
        <w:rPr>
          <w:sz w:val="14"/>
          <w:szCs w:val="18"/>
          <w:lang w:val="es-CO"/>
        </w:rPr>
        <w:t>Fuente: Elaboración propia.</w:t>
      </w:r>
    </w:p>
    <w:p w14:paraId="5425F7CA" w14:textId="77777777" w:rsidR="003D2473" w:rsidRPr="00D71342" w:rsidRDefault="003D2473" w:rsidP="003D2473">
      <w:pPr>
        <w:ind w:right="670"/>
        <w:rPr>
          <w:sz w:val="14"/>
          <w:szCs w:val="18"/>
          <w:lang w:val="es-CO"/>
        </w:rPr>
      </w:pPr>
    </w:p>
    <w:p w14:paraId="4F9FDD98" w14:textId="77388A9C" w:rsidR="00AD1C7F" w:rsidRPr="00D71342" w:rsidRDefault="00AD1C7F" w:rsidP="003D2473">
      <w:pPr>
        <w:ind w:right="670"/>
        <w:rPr>
          <w:sz w:val="14"/>
          <w:szCs w:val="18"/>
          <w:lang w:val="es-CO"/>
        </w:rPr>
      </w:pPr>
      <w:r w:rsidRPr="00D71342">
        <w:rPr>
          <w:sz w:val="14"/>
          <w:szCs w:val="18"/>
          <w:lang w:val="es-CO"/>
        </w:rPr>
        <w:br w:type="page"/>
      </w:r>
    </w:p>
    <w:p w14:paraId="392C38BB" w14:textId="77777777" w:rsidR="00D71342" w:rsidRPr="00D71342" w:rsidRDefault="00AD1C7F" w:rsidP="00D71342">
      <w:pPr>
        <w:pStyle w:val="Ttulo3"/>
        <w:spacing w:before="240" w:after="240"/>
        <w:ind w:left="426" w:right="670"/>
        <w:jc w:val="center"/>
        <w:rPr>
          <w:spacing w:val="-6"/>
        </w:rPr>
      </w:pPr>
      <w:r w:rsidRPr="00D71342">
        <w:rPr>
          <w:spacing w:val="-6"/>
        </w:rPr>
        <w:lastRenderedPageBreak/>
        <w:t>Tabla 9. (Continuación)</w:t>
      </w:r>
    </w:p>
    <w:tbl>
      <w:tblPr>
        <w:tblW w:w="9922" w:type="dxa"/>
        <w:tblInd w:w="496" w:type="dxa"/>
        <w:tblCellMar>
          <w:left w:w="70" w:type="dxa"/>
          <w:right w:w="70" w:type="dxa"/>
        </w:tblCellMar>
        <w:tblLook w:val="04A0" w:firstRow="1" w:lastRow="0" w:firstColumn="1" w:lastColumn="0" w:noHBand="0" w:noVBand="1"/>
      </w:tblPr>
      <w:tblGrid>
        <w:gridCol w:w="1134"/>
        <w:gridCol w:w="1560"/>
        <w:gridCol w:w="4818"/>
        <w:gridCol w:w="2410"/>
      </w:tblGrid>
      <w:tr w:rsidR="00D71342" w:rsidRPr="00D71342" w14:paraId="68B9FFB2" w14:textId="77777777" w:rsidTr="00D71342">
        <w:trPr>
          <w:trHeight w:val="162"/>
        </w:trPr>
        <w:tc>
          <w:tcPr>
            <w:tcW w:w="1134" w:type="dxa"/>
            <w:tcBorders>
              <w:top w:val="single" w:sz="4" w:space="0" w:color="auto"/>
              <w:left w:val="nil"/>
              <w:bottom w:val="single" w:sz="4" w:space="0" w:color="auto"/>
              <w:right w:val="nil"/>
            </w:tcBorders>
            <w:vAlign w:val="center"/>
            <w:hideMark/>
          </w:tcPr>
          <w:p w14:paraId="0B67ABEE" w14:textId="77777777" w:rsidR="00D71342" w:rsidRPr="00D71342" w:rsidRDefault="00D71342" w:rsidP="00D71342">
            <w:pPr>
              <w:ind w:left="284" w:hanging="13"/>
              <w:jc w:val="center"/>
              <w:rPr>
                <w:b/>
                <w:bCs/>
                <w:sz w:val="14"/>
                <w:szCs w:val="14"/>
                <w:lang w:eastAsia="es-CO"/>
              </w:rPr>
            </w:pPr>
            <w:r w:rsidRPr="00D71342">
              <w:rPr>
                <w:b/>
                <w:bCs/>
                <w:sz w:val="14"/>
                <w:szCs w:val="14"/>
                <w:lang w:eastAsia="es-CO"/>
              </w:rPr>
              <w:t>Categoría</w:t>
            </w:r>
          </w:p>
        </w:tc>
        <w:tc>
          <w:tcPr>
            <w:tcW w:w="1560" w:type="dxa"/>
            <w:tcBorders>
              <w:top w:val="single" w:sz="4" w:space="0" w:color="auto"/>
              <w:left w:val="nil"/>
              <w:bottom w:val="single" w:sz="4" w:space="0" w:color="auto"/>
              <w:right w:val="nil"/>
            </w:tcBorders>
            <w:vAlign w:val="center"/>
            <w:hideMark/>
          </w:tcPr>
          <w:p w14:paraId="233B7260" w14:textId="77777777" w:rsidR="00D71342" w:rsidRPr="00D71342" w:rsidRDefault="00D71342" w:rsidP="00D71342">
            <w:pPr>
              <w:jc w:val="center"/>
              <w:rPr>
                <w:b/>
                <w:bCs/>
                <w:sz w:val="14"/>
                <w:szCs w:val="14"/>
                <w:lang w:eastAsia="es-CO"/>
              </w:rPr>
            </w:pPr>
            <w:r w:rsidRPr="00D71342">
              <w:rPr>
                <w:b/>
                <w:bCs/>
                <w:sz w:val="14"/>
                <w:szCs w:val="14"/>
                <w:lang w:eastAsia="es-CO"/>
              </w:rPr>
              <w:t>Factor</w:t>
            </w:r>
          </w:p>
        </w:tc>
        <w:tc>
          <w:tcPr>
            <w:tcW w:w="4818" w:type="dxa"/>
            <w:tcBorders>
              <w:top w:val="single" w:sz="4" w:space="0" w:color="auto"/>
              <w:left w:val="nil"/>
              <w:bottom w:val="single" w:sz="4" w:space="0" w:color="auto"/>
              <w:right w:val="nil"/>
            </w:tcBorders>
            <w:vAlign w:val="center"/>
            <w:hideMark/>
          </w:tcPr>
          <w:p w14:paraId="3A9F8718" w14:textId="77777777" w:rsidR="00D71342" w:rsidRPr="00D71342" w:rsidRDefault="00D71342" w:rsidP="00D71342">
            <w:pPr>
              <w:jc w:val="center"/>
              <w:rPr>
                <w:b/>
                <w:bCs/>
                <w:sz w:val="14"/>
                <w:szCs w:val="14"/>
                <w:lang w:eastAsia="es-CO"/>
              </w:rPr>
            </w:pPr>
            <w:r w:rsidRPr="00D71342">
              <w:rPr>
                <w:b/>
                <w:bCs/>
                <w:sz w:val="14"/>
                <w:szCs w:val="14"/>
                <w:lang w:eastAsia="es-CO"/>
              </w:rPr>
              <w:t>Descripción</w:t>
            </w:r>
          </w:p>
        </w:tc>
        <w:tc>
          <w:tcPr>
            <w:tcW w:w="2410" w:type="dxa"/>
            <w:tcBorders>
              <w:top w:val="single" w:sz="4" w:space="0" w:color="auto"/>
              <w:left w:val="nil"/>
              <w:bottom w:val="single" w:sz="4" w:space="0" w:color="auto"/>
              <w:right w:val="nil"/>
            </w:tcBorders>
            <w:vAlign w:val="center"/>
            <w:hideMark/>
          </w:tcPr>
          <w:p w14:paraId="150E82BB" w14:textId="77777777" w:rsidR="00D71342" w:rsidRPr="00D71342" w:rsidRDefault="00D71342" w:rsidP="00D71342">
            <w:pPr>
              <w:ind w:left="284"/>
              <w:jc w:val="center"/>
              <w:rPr>
                <w:b/>
                <w:bCs/>
                <w:sz w:val="14"/>
                <w:szCs w:val="14"/>
                <w:lang w:eastAsia="es-CO"/>
              </w:rPr>
            </w:pPr>
            <w:r w:rsidRPr="00D71342">
              <w:rPr>
                <w:b/>
                <w:bCs/>
                <w:sz w:val="14"/>
                <w:szCs w:val="14"/>
                <w:lang w:eastAsia="es-CO"/>
              </w:rPr>
              <w:t>Autor(es)</w:t>
            </w:r>
          </w:p>
        </w:tc>
      </w:tr>
      <w:tr w:rsidR="00D71342" w:rsidRPr="00D71342" w14:paraId="5C2445DE" w14:textId="77777777" w:rsidTr="00D71342">
        <w:trPr>
          <w:trHeight w:val="851"/>
        </w:trPr>
        <w:tc>
          <w:tcPr>
            <w:tcW w:w="1134" w:type="dxa"/>
            <w:vMerge w:val="restart"/>
            <w:tcBorders>
              <w:top w:val="single" w:sz="4" w:space="0" w:color="000000"/>
              <w:left w:val="nil"/>
              <w:right w:val="nil"/>
            </w:tcBorders>
            <w:vAlign w:val="center"/>
          </w:tcPr>
          <w:p w14:paraId="42933F9B" w14:textId="77777777" w:rsidR="00D71342" w:rsidRPr="00D71342" w:rsidRDefault="00D71342" w:rsidP="00D71342">
            <w:pPr>
              <w:ind w:left="284" w:hanging="13"/>
              <w:rPr>
                <w:sz w:val="14"/>
                <w:szCs w:val="14"/>
                <w:lang w:eastAsia="es-CO"/>
              </w:rPr>
            </w:pPr>
            <w:r w:rsidRPr="00D71342">
              <w:rPr>
                <w:sz w:val="14"/>
                <w:szCs w:val="14"/>
                <w:lang w:eastAsia="es-CO"/>
              </w:rPr>
              <w:t>Culturales</w:t>
            </w:r>
          </w:p>
        </w:tc>
        <w:tc>
          <w:tcPr>
            <w:tcW w:w="1560" w:type="dxa"/>
            <w:tcBorders>
              <w:top w:val="single" w:sz="4" w:space="0" w:color="000000"/>
              <w:left w:val="nil"/>
              <w:bottom w:val="nil"/>
              <w:right w:val="nil"/>
            </w:tcBorders>
            <w:shd w:val="clear" w:color="auto" w:fill="BFBFBF" w:themeFill="background1" w:themeFillShade="BF"/>
            <w:vAlign w:val="center"/>
          </w:tcPr>
          <w:p w14:paraId="25FC0563" w14:textId="77777777" w:rsidR="00D71342" w:rsidRPr="00D71342" w:rsidRDefault="00D71342" w:rsidP="00D71342">
            <w:pPr>
              <w:rPr>
                <w:sz w:val="14"/>
                <w:szCs w:val="14"/>
                <w:lang w:eastAsia="es-CO"/>
              </w:rPr>
            </w:pPr>
            <w:r w:rsidRPr="00D71342">
              <w:rPr>
                <w:sz w:val="14"/>
                <w:szCs w:val="14"/>
                <w:lang w:eastAsia="es-CO"/>
              </w:rPr>
              <w:t>Resistencia al cambio y preferencia de beneficios inmediato</w:t>
            </w:r>
          </w:p>
        </w:tc>
        <w:tc>
          <w:tcPr>
            <w:tcW w:w="4818" w:type="dxa"/>
            <w:tcBorders>
              <w:top w:val="single" w:sz="4" w:space="0" w:color="000000"/>
              <w:left w:val="nil"/>
              <w:bottom w:val="nil"/>
              <w:right w:val="nil"/>
            </w:tcBorders>
            <w:shd w:val="clear" w:color="auto" w:fill="BFBFBF" w:themeFill="background1" w:themeFillShade="BF"/>
            <w:vAlign w:val="center"/>
          </w:tcPr>
          <w:p w14:paraId="506765E7" w14:textId="77777777" w:rsidR="00D71342" w:rsidRPr="00D71342" w:rsidRDefault="00D71342" w:rsidP="00D71342">
            <w:pPr>
              <w:rPr>
                <w:sz w:val="14"/>
                <w:szCs w:val="14"/>
                <w:lang w:eastAsia="es-CO"/>
              </w:rPr>
            </w:pPr>
            <w:r w:rsidRPr="00D71342">
              <w:rPr>
                <w:sz w:val="14"/>
                <w:szCs w:val="14"/>
                <w:lang w:eastAsia="es-CO"/>
              </w:rPr>
              <w:t>Los consumidores manifiestan una elevada sensibilidad al costo y una restricción a pagar un precio "premium" de productos verdes para compensar los elevados costos; esto provoca una la desigualdad entre la intención de compra y el comportamiento financiero real, limitando el crecimiento y transición hacia mercados sostenibles.</w:t>
            </w:r>
          </w:p>
        </w:tc>
        <w:tc>
          <w:tcPr>
            <w:tcW w:w="2410" w:type="dxa"/>
            <w:tcBorders>
              <w:top w:val="single" w:sz="4" w:space="0" w:color="000000"/>
              <w:left w:val="nil"/>
              <w:bottom w:val="nil"/>
              <w:right w:val="nil"/>
            </w:tcBorders>
            <w:shd w:val="clear" w:color="auto" w:fill="BFBFBF" w:themeFill="background1" w:themeFillShade="BF"/>
            <w:vAlign w:val="center"/>
          </w:tcPr>
          <w:p w14:paraId="29BD3EF0" w14:textId="77777777" w:rsidR="00D71342" w:rsidRPr="00D71342" w:rsidRDefault="00D71342" w:rsidP="00D71342">
            <w:pPr>
              <w:rPr>
                <w:sz w:val="14"/>
                <w:szCs w:val="14"/>
                <w:lang w:eastAsia="es-CO"/>
              </w:rPr>
            </w:pPr>
            <w:r w:rsidRPr="00D71342">
              <w:rPr>
                <w:sz w:val="14"/>
                <w:szCs w:val="14"/>
                <w:lang w:eastAsia="es-CO"/>
              </w:rPr>
              <w:t>Rajkamal et al. (2022)</w:t>
            </w:r>
            <w:r w:rsidRPr="00D71342">
              <w:rPr>
                <w:sz w:val="14"/>
                <w:szCs w:val="14"/>
                <w:lang w:eastAsia="es-CO"/>
              </w:rPr>
              <w:br/>
              <w:t>Reza-Gharehbagh et al. (2022)</w:t>
            </w:r>
            <w:r w:rsidRPr="00D71342">
              <w:rPr>
                <w:sz w:val="14"/>
                <w:szCs w:val="14"/>
                <w:lang w:eastAsia="es-CO"/>
              </w:rPr>
              <w:br/>
              <w:t>Sarvari et al. (2023)</w:t>
            </w:r>
            <w:r w:rsidRPr="00D71342">
              <w:rPr>
                <w:sz w:val="14"/>
                <w:szCs w:val="14"/>
                <w:lang w:eastAsia="es-CO"/>
              </w:rPr>
              <w:br/>
              <w:t>Yang et al. (2021)</w:t>
            </w:r>
            <w:r w:rsidRPr="00D71342">
              <w:rPr>
                <w:sz w:val="14"/>
                <w:szCs w:val="14"/>
                <w:lang w:eastAsia="es-CO"/>
              </w:rPr>
              <w:br/>
              <w:t>Zheng y Li (2025)</w:t>
            </w:r>
          </w:p>
        </w:tc>
      </w:tr>
      <w:tr w:rsidR="00D71342" w:rsidRPr="00D71342" w14:paraId="0534B0C9" w14:textId="77777777" w:rsidTr="00D71342">
        <w:trPr>
          <w:trHeight w:val="851"/>
        </w:trPr>
        <w:tc>
          <w:tcPr>
            <w:tcW w:w="1134" w:type="dxa"/>
            <w:vMerge/>
            <w:tcBorders>
              <w:left w:val="nil"/>
              <w:right w:val="nil"/>
            </w:tcBorders>
            <w:vAlign w:val="center"/>
          </w:tcPr>
          <w:p w14:paraId="769936D4" w14:textId="77777777" w:rsidR="00D71342" w:rsidRPr="00D71342" w:rsidRDefault="00D71342" w:rsidP="00D71342">
            <w:pPr>
              <w:ind w:left="284" w:hanging="13"/>
              <w:rPr>
                <w:sz w:val="14"/>
                <w:szCs w:val="14"/>
                <w:lang w:eastAsia="es-CO"/>
              </w:rPr>
            </w:pPr>
          </w:p>
        </w:tc>
        <w:tc>
          <w:tcPr>
            <w:tcW w:w="1560" w:type="dxa"/>
            <w:tcBorders>
              <w:top w:val="nil"/>
              <w:left w:val="nil"/>
              <w:bottom w:val="nil"/>
              <w:right w:val="nil"/>
            </w:tcBorders>
            <w:vAlign w:val="center"/>
          </w:tcPr>
          <w:p w14:paraId="6ED95368" w14:textId="77777777" w:rsidR="00D71342" w:rsidRPr="00D71342" w:rsidRDefault="00D71342" w:rsidP="00D71342">
            <w:pPr>
              <w:rPr>
                <w:sz w:val="14"/>
                <w:szCs w:val="14"/>
                <w:lang w:eastAsia="es-CO"/>
              </w:rPr>
            </w:pPr>
            <w:r w:rsidRPr="00D71342">
              <w:rPr>
                <w:sz w:val="14"/>
                <w:szCs w:val="14"/>
                <w:lang w:eastAsia="es-CO"/>
              </w:rPr>
              <w:t>Normas sociales</w:t>
            </w:r>
          </w:p>
        </w:tc>
        <w:tc>
          <w:tcPr>
            <w:tcW w:w="4818" w:type="dxa"/>
            <w:tcBorders>
              <w:top w:val="nil"/>
              <w:left w:val="nil"/>
              <w:bottom w:val="nil"/>
              <w:right w:val="nil"/>
            </w:tcBorders>
            <w:vAlign w:val="center"/>
          </w:tcPr>
          <w:p w14:paraId="2261A84E" w14:textId="77777777" w:rsidR="00D71342" w:rsidRPr="00D71342" w:rsidRDefault="00D71342" w:rsidP="00D71342">
            <w:pPr>
              <w:rPr>
                <w:sz w:val="14"/>
                <w:szCs w:val="14"/>
                <w:lang w:eastAsia="es-CO"/>
              </w:rPr>
            </w:pPr>
            <w:r w:rsidRPr="00D71342">
              <w:rPr>
                <w:sz w:val="14"/>
                <w:szCs w:val="14"/>
                <w:lang w:eastAsia="es-CO"/>
              </w:rPr>
              <w:t>Percepción negativa de las prácticas verdes como gastos operativos improductivos, en lugar de inversiones estratégicas, debido a la predominancia de la cultura empresarial clásica.</w:t>
            </w:r>
          </w:p>
        </w:tc>
        <w:tc>
          <w:tcPr>
            <w:tcW w:w="2410" w:type="dxa"/>
            <w:tcBorders>
              <w:top w:val="nil"/>
              <w:left w:val="nil"/>
              <w:bottom w:val="nil"/>
              <w:right w:val="nil"/>
            </w:tcBorders>
            <w:vAlign w:val="center"/>
          </w:tcPr>
          <w:p w14:paraId="178284FE" w14:textId="77777777" w:rsidR="00D71342" w:rsidRPr="00D71342" w:rsidRDefault="00D71342" w:rsidP="00D71342">
            <w:pPr>
              <w:rPr>
                <w:sz w:val="14"/>
                <w:szCs w:val="14"/>
                <w:lang w:eastAsia="es-CO"/>
              </w:rPr>
            </w:pPr>
            <w:r w:rsidRPr="00D71342">
              <w:rPr>
                <w:sz w:val="14"/>
                <w:szCs w:val="14"/>
                <w:lang w:eastAsia="es-CO"/>
              </w:rPr>
              <w:t>Lemaire et al. (2022)</w:t>
            </w:r>
            <w:r w:rsidRPr="00D71342">
              <w:rPr>
                <w:sz w:val="14"/>
                <w:szCs w:val="14"/>
                <w:lang w:eastAsia="es-CO"/>
              </w:rPr>
              <w:br/>
              <w:t>Sarvari et al. (2023)</w:t>
            </w:r>
          </w:p>
        </w:tc>
      </w:tr>
      <w:tr w:rsidR="00D71342" w:rsidRPr="00D71342" w14:paraId="3D74C375" w14:textId="77777777" w:rsidTr="00D71342">
        <w:trPr>
          <w:trHeight w:val="851"/>
        </w:trPr>
        <w:tc>
          <w:tcPr>
            <w:tcW w:w="1134" w:type="dxa"/>
            <w:vMerge/>
            <w:tcBorders>
              <w:left w:val="nil"/>
              <w:bottom w:val="single" w:sz="4" w:space="0" w:color="auto"/>
              <w:right w:val="nil"/>
            </w:tcBorders>
            <w:vAlign w:val="center"/>
          </w:tcPr>
          <w:p w14:paraId="516EBE73" w14:textId="77777777" w:rsidR="00D71342" w:rsidRPr="00D71342" w:rsidRDefault="00D71342" w:rsidP="00D71342">
            <w:pPr>
              <w:ind w:left="284" w:hanging="13"/>
              <w:rPr>
                <w:sz w:val="14"/>
                <w:szCs w:val="14"/>
                <w:lang w:eastAsia="es-CO"/>
              </w:rPr>
            </w:pPr>
          </w:p>
        </w:tc>
        <w:tc>
          <w:tcPr>
            <w:tcW w:w="1560" w:type="dxa"/>
            <w:tcBorders>
              <w:top w:val="nil"/>
              <w:left w:val="nil"/>
              <w:bottom w:val="single" w:sz="4" w:space="0" w:color="auto"/>
              <w:right w:val="nil"/>
            </w:tcBorders>
            <w:shd w:val="clear" w:color="auto" w:fill="BFBFBF" w:themeFill="background1" w:themeFillShade="BF"/>
            <w:vAlign w:val="center"/>
          </w:tcPr>
          <w:p w14:paraId="208D1ACB" w14:textId="77777777" w:rsidR="00D71342" w:rsidRPr="00D71342" w:rsidRDefault="00D71342" w:rsidP="00D71342">
            <w:pPr>
              <w:rPr>
                <w:sz w:val="14"/>
                <w:szCs w:val="14"/>
                <w:lang w:eastAsia="es-CO"/>
              </w:rPr>
            </w:pPr>
            <w:r w:rsidRPr="00D71342">
              <w:rPr>
                <w:sz w:val="14"/>
                <w:szCs w:val="14"/>
                <w:lang w:eastAsia="es-CO"/>
              </w:rPr>
              <w:t>Sesgos socioculturales de género</w:t>
            </w:r>
          </w:p>
        </w:tc>
        <w:tc>
          <w:tcPr>
            <w:tcW w:w="4818" w:type="dxa"/>
            <w:tcBorders>
              <w:top w:val="nil"/>
              <w:left w:val="nil"/>
              <w:bottom w:val="single" w:sz="4" w:space="0" w:color="auto"/>
              <w:right w:val="nil"/>
            </w:tcBorders>
            <w:shd w:val="clear" w:color="auto" w:fill="BFBFBF" w:themeFill="background1" w:themeFillShade="BF"/>
            <w:vAlign w:val="center"/>
          </w:tcPr>
          <w:p w14:paraId="6049AF7E" w14:textId="77777777" w:rsidR="00D71342" w:rsidRPr="00D71342" w:rsidRDefault="00D71342" w:rsidP="00D71342">
            <w:pPr>
              <w:rPr>
                <w:sz w:val="14"/>
                <w:szCs w:val="14"/>
                <w:lang w:eastAsia="es-CO"/>
              </w:rPr>
            </w:pPr>
            <w:r w:rsidRPr="00D71342">
              <w:rPr>
                <w:sz w:val="14"/>
                <w:szCs w:val="14"/>
                <w:lang w:eastAsia="es-CO"/>
              </w:rPr>
              <w:t>La cultura patriarcal y normas socioculturales limita la participación de mujeres líderes en el emprendimiento verde.</w:t>
            </w:r>
          </w:p>
        </w:tc>
        <w:tc>
          <w:tcPr>
            <w:tcW w:w="2410" w:type="dxa"/>
            <w:tcBorders>
              <w:top w:val="nil"/>
              <w:left w:val="nil"/>
              <w:bottom w:val="single" w:sz="4" w:space="0" w:color="auto"/>
              <w:right w:val="nil"/>
            </w:tcBorders>
            <w:shd w:val="clear" w:color="auto" w:fill="BFBFBF" w:themeFill="background1" w:themeFillShade="BF"/>
            <w:vAlign w:val="center"/>
          </w:tcPr>
          <w:p w14:paraId="05DE5523" w14:textId="77777777" w:rsidR="00D71342" w:rsidRPr="00D71342" w:rsidRDefault="00D71342" w:rsidP="00D71342">
            <w:pPr>
              <w:rPr>
                <w:sz w:val="14"/>
                <w:szCs w:val="14"/>
                <w:lang w:eastAsia="es-CO"/>
              </w:rPr>
            </w:pPr>
            <w:r w:rsidRPr="00D71342">
              <w:rPr>
                <w:sz w:val="14"/>
                <w:szCs w:val="14"/>
                <w:lang w:eastAsia="es-CO"/>
              </w:rPr>
              <w:t>Potluri et al. (2024)</w:t>
            </w:r>
            <w:r w:rsidRPr="00D71342">
              <w:rPr>
                <w:sz w:val="14"/>
                <w:szCs w:val="14"/>
                <w:lang w:eastAsia="es-CO"/>
              </w:rPr>
              <w:br/>
              <w:t>Sugiyanto et al. (2024)</w:t>
            </w:r>
          </w:p>
        </w:tc>
      </w:tr>
    </w:tbl>
    <w:p w14:paraId="437B2BA2" w14:textId="77777777" w:rsidR="00D71342" w:rsidRPr="00D71342" w:rsidRDefault="00D71342" w:rsidP="00D71342">
      <w:pPr>
        <w:ind w:left="284" w:right="670"/>
        <w:rPr>
          <w:sz w:val="14"/>
          <w:szCs w:val="18"/>
          <w:lang w:val="es-CO"/>
        </w:rPr>
        <w:sectPr w:rsidR="00D71342" w:rsidRPr="00D71342" w:rsidSect="00D71342">
          <w:type w:val="continuous"/>
          <w:pgSz w:w="12240" w:h="15840"/>
          <w:pgMar w:top="1000" w:right="360" w:bottom="1200" w:left="720" w:header="0" w:footer="1000" w:gutter="0"/>
          <w:cols w:space="69"/>
        </w:sectPr>
      </w:pPr>
    </w:p>
    <w:p w14:paraId="6745AE4E" w14:textId="77777777" w:rsidR="00D71342" w:rsidRPr="00D71342" w:rsidRDefault="00D71342" w:rsidP="00D71342">
      <w:pPr>
        <w:ind w:left="426" w:right="670"/>
        <w:rPr>
          <w:sz w:val="14"/>
          <w:szCs w:val="18"/>
          <w:lang w:val="es-CO"/>
        </w:rPr>
      </w:pPr>
      <w:r w:rsidRPr="00D71342">
        <w:rPr>
          <w:sz w:val="14"/>
          <w:szCs w:val="18"/>
          <w:lang w:val="es-CO"/>
        </w:rPr>
        <w:t>Fuente: Elaboración propia.</w:t>
      </w:r>
    </w:p>
    <w:p w14:paraId="46E31A00" w14:textId="116955BC" w:rsidR="00D71342" w:rsidRPr="00D71342" w:rsidRDefault="00D71342" w:rsidP="00D71342">
      <w:pPr>
        <w:ind w:right="670"/>
        <w:rPr>
          <w:sz w:val="14"/>
          <w:szCs w:val="18"/>
          <w:lang w:val="es-CO"/>
        </w:rPr>
      </w:pPr>
    </w:p>
    <w:p w14:paraId="1A03263F" w14:textId="77777777" w:rsidR="00D71342" w:rsidRPr="00D71342" w:rsidRDefault="00D71342" w:rsidP="00D71342">
      <w:pPr>
        <w:ind w:right="670"/>
        <w:rPr>
          <w:bCs/>
          <w:i/>
          <w:lang w:val="es-CO"/>
        </w:rPr>
      </w:pPr>
    </w:p>
    <w:p w14:paraId="02F2283E" w14:textId="77777777" w:rsidR="00D71342" w:rsidRPr="00D71342" w:rsidRDefault="00D71342" w:rsidP="00D71342">
      <w:pPr>
        <w:ind w:right="670"/>
        <w:rPr>
          <w:bCs/>
          <w:i/>
          <w:lang w:val="es-CO"/>
        </w:rPr>
        <w:sectPr w:rsidR="00D71342" w:rsidRPr="00D71342" w:rsidSect="00D71342">
          <w:type w:val="continuous"/>
          <w:pgSz w:w="12240" w:h="15840"/>
          <w:pgMar w:top="1000" w:right="360" w:bottom="1200" w:left="720" w:header="0" w:footer="1000" w:gutter="0"/>
          <w:cols w:num="2" w:space="69"/>
        </w:sectPr>
      </w:pPr>
    </w:p>
    <w:p w14:paraId="20AE8BD4" w14:textId="78FC5267" w:rsidR="00F0541C" w:rsidRPr="00D71342" w:rsidRDefault="00F0541C" w:rsidP="00F82428">
      <w:pPr>
        <w:ind w:left="426" w:right="442"/>
        <w:rPr>
          <w:bCs/>
          <w:i/>
          <w:lang w:val="es-CO"/>
        </w:rPr>
      </w:pPr>
      <w:r w:rsidRPr="00D71342">
        <w:rPr>
          <w:bCs/>
          <w:i/>
          <w:lang w:val="es-CO"/>
        </w:rPr>
        <w:t>Factores que Restringen el Emprendimiento Verde</w:t>
      </w:r>
    </w:p>
    <w:p w14:paraId="42D615CB" w14:textId="2601D7C8" w:rsidR="003A6A51" w:rsidRPr="00D71342" w:rsidRDefault="003A6A51" w:rsidP="00F82428">
      <w:pPr>
        <w:pStyle w:val="Textoindependiente"/>
        <w:spacing w:before="158" w:line="259" w:lineRule="auto"/>
        <w:ind w:left="426" w:right="442"/>
        <w:jc w:val="both"/>
      </w:pPr>
      <w:r w:rsidRPr="00D71342">
        <w:t>El análisis de las fuentes recopiladas permite identificar que, así como el emprendimiento verde es impulsado por determinantes clave, su desarrollo también se ve obstaculizado por barreras empresariales, económicas y culturales, consideradas complejas y multidimensionales ya que limitan la transición ecológica en las organizaciones (Singh et al., 2025). Estas restricciones operan de manera integrada, elevando el riesgo de mercado y mitigando la adopción de innovaciones proambientales (Sugiyanto et al., 2024; Potluri et al., 2024). Posteriormente, en la tabla 9 se describen y detallan los principales factores que restringen el emprendimiento verde.</w:t>
      </w:r>
    </w:p>
    <w:p w14:paraId="704F2CBE" w14:textId="68B09E91" w:rsidR="003A6A51" w:rsidRPr="00D71342" w:rsidRDefault="003A6A51" w:rsidP="00F82428">
      <w:pPr>
        <w:pStyle w:val="Textoindependiente"/>
        <w:spacing w:before="158" w:line="259" w:lineRule="auto"/>
        <w:ind w:left="426" w:right="442"/>
        <w:rPr>
          <w:bCs/>
          <w:i/>
          <w:lang w:val="es-CO"/>
        </w:rPr>
      </w:pPr>
      <w:r w:rsidRPr="00D71342">
        <w:rPr>
          <w:bCs/>
          <w:i/>
          <w:lang w:val="es-CO"/>
        </w:rPr>
        <w:t>Análisis crítico de los resultados</w:t>
      </w:r>
    </w:p>
    <w:p w14:paraId="5156F00D" w14:textId="7B1F4614" w:rsidR="003A6A51" w:rsidRPr="00D71342" w:rsidRDefault="003A6A51" w:rsidP="00F82428">
      <w:pPr>
        <w:pStyle w:val="Textoindependiente"/>
        <w:spacing w:before="158" w:line="259" w:lineRule="auto"/>
        <w:ind w:left="426" w:right="442"/>
        <w:jc w:val="both"/>
      </w:pPr>
      <w:r w:rsidRPr="00D71342">
        <w:t>La puesta en práctica del protocolo de revisión de literatura logró ordenar la totalidad de la información académica publicada durante cinco años (2021-2025); demostró el desarrollo de competencias y gestión en procesos sostenibles, toma de decisiones estratégicas orientadas a la sostenibilidad y, cómo las organizaciones se fortalecen en innovación empresarial y mejoran simultáneamente su eficiencia económica y ambiental; mediante la adopción del emprendimiento verde como un factor clave de transformación y una ventaja competitiva para estas, y los estudiantes de ingeniería industrial. Lo anterior evidencia al emprendimiento verde como una estrategia competitiva, puesto que, fortalece la capacidad adaptativa de las organizaciones y los profesionales a las crisis, generadas por los cambios ambientales y la mayor demanda del mercado por productos y servicios sostenibles. Todo lo anterior, con el objetivo de impactar positivamente en el bienestar social a la vez que contribuye con la desaceleración de la crisis ambiental.</w:t>
      </w:r>
    </w:p>
    <w:p w14:paraId="79D07867" w14:textId="77777777" w:rsidR="00813F12" w:rsidRPr="00D71342" w:rsidRDefault="00813F12" w:rsidP="00F82428">
      <w:pPr>
        <w:pStyle w:val="Textoindependiente"/>
        <w:spacing w:before="158" w:line="259" w:lineRule="auto"/>
        <w:ind w:left="426" w:right="442"/>
        <w:jc w:val="both"/>
      </w:pPr>
    </w:p>
    <w:p w14:paraId="505DAD6E" w14:textId="6AD9C52B" w:rsidR="003A6A51" w:rsidRPr="00D71342" w:rsidRDefault="003A6A51" w:rsidP="00F82428">
      <w:pPr>
        <w:pStyle w:val="Prrafodelista"/>
        <w:numPr>
          <w:ilvl w:val="0"/>
          <w:numId w:val="2"/>
        </w:numPr>
        <w:tabs>
          <w:tab w:val="left" w:pos="631"/>
        </w:tabs>
        <w:ind w:left="426" w:right="442" w:firstLine="0"/>
        <w:jc w:val="left"/>
        <w:rPr>
          <w:b/>
          <w:sz w:val="18"/>
        </w:rPr>
      </w:pPr>
      <w:r w:rsidRPr="00D71342">
        <w:rPr>
          <w:b/>
          <w:spacing w:val="-2"/>
          <w:sz w:val="18"/>
        </w:rPr>
        <w:t>CONCLUSIONES</w:t>
      </w:r>
    </w:p>
    <w:p w14:paraId="12440362" w14:textId="77777777" w:rsidR="003A6A51" w:rsidRPr="00D71342" w:rsidRDefault="003A6A51" w:rsidP="00F82428">
      <w:pPr>
        <w:tabs>
          <w:tab w:val="left" w:pos="631"/>
        </w:tabs>
        <w:ind w:left="426" w:right="442"/>
        <w:rPr>
          <w:b/>
          <w:sz w:val="18"/>
        </w:rPr>
      </w:pPr>
    </w:p>
    <w:p w14:paraId="23ACE8FD" w14:textId="77777777" w:rsidR="00F82428" w:rsidRDefault="003A6A51" w:rsidP="00F82428">
      <w:pPr>
        <w:pStyle w:val="Textoindependiente"/>
        <w:spacing w:before="158" w:line="259" w:lineRule="auto"/>
        <w:ind w:left="426" w:right="442"/>
        <w:jc w:val="both"/>
      </w:pPr>
      <w:r w:rsidRPr="00D71342">
        <w:t>La cantidad de publicaciones relacionadas al emprendimiento verde ha sido notablemente grande para la región asiática, especialmente para China (50 publicaciones), demostrando la gran importancia que tienen los emprendimientos basados en el cuidado del medio ambiente en esta zona, a través, de la creación y el desarrollo de prácticas sostenibles. También, la tendencia observada durante los años que comprende este</w:t>
      </w:r>
    </w:p>
    <w:p w14:paraId="2B681125" w14:textId="31339A22" w:rsidR="003A6A51" w:rsidRPr="00D71342" w:rsidRDefault="003A6A51" w:rsidP="00F82428">
      <w:pPr>
        <w:pStyle w:val="Textoindependiente"/>
        <w:spacing w:before="158" w:line="259" w:lineRule="auto"/>
        <w:ind w:right="725"/>
        <w:jc w:val="both"/>
      </w:pPr>
      <w:r w:rsidRPr="00D71342">
        <w:t>estudio (2021-2025) para ambas bases de datos es de un aumento exponencial;</w:t>
      </w:r>
      <w:r w:rsidR="00F82428">
        <w:t xml:space="preserve"> </w:t>
      </w:r>
      <w:r w:rsidRPr="00D71342">
        <w:t>en Scopus iniciando con 7 divulgaciones en 2021 y, terminando</w:t>
      </w:r>
      <w:r w:rsidR="00410BD8">
        <w:t xml:space="preserve"> </w:t>
      </w:r>
      <w:r w:rsidRPr="00D71342">
        <w:t>con 30 publicaciones en 2025; Wos, con 14 en 2021, finalizando con 31 en 2025. Resaltando en ambos repositorios, autores como Lahcene Makhloufi con 549 citaciones y Abderrazak Ahmed Laghouag con 467 citaciones, por sus aportaciones a la sostenibilidad.</w:t>
      </w:r>
    </w:p>
    <w:p w14:paraId="52667296" w14:textId="77777777" w:rsidR="003A6A51" w:rsidRPr="00D71342" w:rsidRDefault="003A6A51" w:rsidP="00410BD8">
      <w:pPr>
        <w:pStyle w:val="Textoindependiente"/>
        <w:spacing w:before="158" w:line="259" w:lineRule="auto"/>
        <w:ind w:right="725"/>
        <w:jc w:val="both"/>
      </w:pPr>
      <w:r w:rsidRPr="00D71342">
        <w:t xml:space="preserve">El análisis de la información contenida en los estudios seleccionados, determinó los enfoques metodológicos usados, las perspectivas teóricas y delimitaciones presentes para conceptualizar el emprendimiento verde y, los factores que promueven y restringen el desarrollo de esta práctica. </w:t>
      </w:r>
    </w:p>
    <w:p w14:paraId="3F46BC89" w14:textId="4AF4BB7E" w:rsidR="003A6A51" w:rsidRPr="00D71342" w:rsidRDefault="003A6A51" w:rsidP="00410BD8">
      <w:pPr>
        <w:pStyle w:val="Textoindependiente"/>
        <w:spacing w:before="158" w:line="259" w:lineRule="auto"/>
        <w:ind w:right="725"/>
        <w:jc w:val="both"/>
      </w:pPr>
      <w:r w:rsidRPr="00D71342">
        <w:t>Se identificó que la mayor cantidad de estos artículos revisados emplean el enfoque cuantitativo, basados principalmente en encuestas y en el modelado de ecuaciones estructurales mediante mínimos cuadrados parciales, orientadas a poblaciones de</w:t>
      </w:r>
      <w:r w:rsidR="00F62A65" w:rsidRPr="00D71342">
        <w:t xml:space="preserve"> </w:t>
      </w:r>
      <w:r w:rsidRPr="00D71342">
        <w:t>estudiantes universitarios, empresarios, pequeñas y medianas empresas.</w:t>
      </w:r>
    </w:p>
    <w:p w14:paraId="17BB97A8" w14:textId="77777777" w:rsidR="003A6A51" w:rsidRPr="00D71342" w:rsidRDefault="003A6A51" w:rsidP="00410BD8">
      <w:pPr>
        <w:pStyle w:val="Textoindependiente"/>
        <w:spacing w:before="158" w:line="259" w:lineRule="auto"/>
        <w:ind w:right="725"/>
        <w:jc w:val="both"/>
      </w:pPr>
      <w:r w:rsidRPr="00D71342">
        <w:t>Desde el punto de vista conceptual, se identificó que el emprendimiento verde es un fenómeno multidimensional que no admite una definición única, sino que debe entenderse desde cuatro perspectivas complementarias que en conjunto capturan su esencia: creación de valor sostenible o triple resultado, resolución de problemas ambientales, oportunidad de mercado y orientación emprendedora verde. La integración de estas cuatro perspectivas permite definir el emprendimiento verde como: un enfoque empresarial mediante el cual individuos  y organizaciones integran la creación de valor económico, social y ambiental de manera simultánea; identificando, evaluando y aprovechando oportunidades de negocio y el desarrollo de innovaciones sostenibles con el objetivo de resolver problemas  ambientales, respaldado a través de una orientación emprendedora verde que combina innovación, proactividad y asumir riesgos, con el propósito de contribuir al desarrollo sostenible.</w:t>
      </w:r>
    </w:p>
    <w:p w14:paraId="12B5D13D" w14:textId="77777777" w:rsidR="003A6A51" w:rsidRPr="00D71342" w:rsidRDefault="003A6A51" w:rsidP="00410BD8">
      <w:pPr>
        <w:pStyle w:val="Textoindependiente"/>
        <w:spacing w:before="158" w:line="259" w:lineRule="auto"/>
        <w:ind w:right="725"/>
        <w:jc w:val="both"/>
      </w:pPr>
      <w:r w:rsidRPr="00D71342">
        <w:t>No obstante, se reconoce una fragmentación terminológica significativa, con términos como "emprendimiento sostenible", "ecopreneurship", "emprendimiento ambiental" y "orientación emprendedora verde" empleados de forma inconsistente; aunque estos conceptos comparten objetivos comunes, presentan diferencias importantes en su enfoque y alcance que deben ser reconocidas para evitar confusiones conceptuales.</w:t>
      </w:r>
    </w:p>
    <w:p w14:paraId="573768E1" w14:textId="1F229693" w:rsidR="00BA7E14" w:rsidRPr="00D71342" w:rsidRDefault="003A6A51" w:rsidP="00F82428">
      <w:pPr>
        <w:pStyle w:val="Textoindependiente"/>
        <w:spacing w:before="158" w:line="259" w:lineRule="auto"/>
        <w:ind w:left="426" w:right="442"/>
        <w:jc w:val="both"/>
      </w:pPr>
      <w:r w:rsidRPr="00D71342">
        <w:lastRenderedPageBreak/>
        <w:t xml:space="preserve">Así mismo, la literatura analizada determinó que el emprendimiento verde puede comprenderse como un fenómeno </w:t>
      </w:r>
    </w:p>
    <w:p w14:paraId="6428D664" w14:textId="3B58C2D6" w:rsidR="003A6A51" w:rsidRPr="00D71342" w:rsidRDefault="003A6A51" w:rsidP="00F82428">
      <w:pPr>
        <w:pStyle w:val="Textoindependiente"/>
        <w:spacing w:before="158" w:line="259" w:lineRule="auto"/>
        <w:ind w:left="426" w:right="442"/>
        <w:jc w:val="both"/>
      </w:pPr>
      <w:r w:rsidRPr="00D71342">
        <w:t>que se desarrolla mediante la interacción de tres niveles específicos e interdependientes de análisis: individual, organizacional y ambiental; donde cada uno está compuesto por características específicas, que en conjunto explican su desarrollo y consolidación como estrategia empresarial.</w:t>
      </w:r>
    </w:p>
    <w:p w14:paraId="0DB5B43D" w14:textId="7204769A" w:rsidR="003A6A51" w:rsidRPr="00D71342" w:rsidRDefault="003A6A51" w:rsidP="00F82428">
      <w:pPr>
        <w:pStyle w:val="Textoindependiente"/>
        <w:spacing w:before="158" w:line="259" w:lineRule="auto"/>
        <w:ind w:left="426" w:right="442"/>
        <w:jc w:val="both"/>
      </w:pPr>
      <w:r w:rsidRPr="00D71342">
        <w:t>También, se postuló que el desarrollo del emprendimiento verde depende del equilibrio entre diversos factores impulsores y restrictivos. Los factores que promueven el emprendimiento verde como la educación sostenible, la conciencia y los valores proambientales, y una cultura organizacional orientada al desarrollo sostenible constituyen los principales impulsores documentados en la literatura. Por el contrario, los factores que restringen el emprendimiento corresponden a el acceso restringido de crédito; la escasez de recursos y capacidades organizacionales; la resistencia al cambio; la incertidumbre regulatoria, y diversos factores socioculturales, como la percepción del riesgo, la prioridad a los beneficios económicos a modelos de negocio tradicionales y las brechas de género presente en alg</w:t>
      </w:r>
      <w:r w:rsidR="006E692E" w:rsidRPr="00D71342">
        <w:t>unos</w:t>
      </w:r>
      <w:r w:rsidRPr="00D71342">
        <w:t xml:space="preserve"> casos; actúan como fuerzas intangibles que restringen la legitimidad social y la aceptación comercial de negocios sostenibles. El contraste entre los factores, ofrece una visión integral y balanceada del fenómeno estudiado, evidenciando que el desarrollo exitoso depende de la capacidad de las organizaciones y del entorno para potenciar los factores que lo promueven y mitigar los factores que lo restringen.</w:t>
      </w:r>
    </w:p>
    <w:p w14:paraId="697C339D" w14:textId="77777777" w:rsidR="00483DD0" w:rsidRPr="00D71342" w:rsidRDefault="003A6A51" w:rsidP="00F82428">
      <w:pPr>
        <w:pStyle w:val="Textoindependiente"/>
        <w:spacing w:before="158" w:line="259" w:lineRule="auto"/>
        <w:ind w:left="426" w:right="442"/>
        <w:jc w:val="both"/>
      </w:pPr>
      <w:r w:rsidRPr="00D71342">
        <w:t>Estos resultados confirman que el emprendimiento verde constituye una estrategia viable para fortalecer la competitividad organizacional mediante el equilibrio entre rentabilidad económica, responsabilidad ambiental y bienestar social. Asimismo, ampl</w:t>
      </w:r>
      <w:r w:rsidR="006E692E" w:rsidRPr="00D71342">
        <w:t>í</w:t>
      </w:r>
      <w:r w:rsidRPr="00D71342">
        <w:t>a el estado del arte sobre emprendimiento verde</w:t>
      </w:r>
    </w:p>
    <w:p w14:paraId="0ED04FF2" w14:textId="734B3A71" w:rsidR="003A6A51" w:rsidRPr="00D71342" w:rsidRDefault="003A6A51" w:rsidP="00F82428">
      <w:pPr>
        <w:pStyle w:val="Textoindependiente"/>
        <w:spacing w:before="158" w:line="259" w:lineRule="auto"/>
        <w:ind w:left="426" w:right="442"/>
        <w:jc w:val="both"/>
      </w:pPr>
      <w:r w:rsidRPr="00D71342">
        <w:t>de manera sistemática, ampliando la evidencia científica disponible; identificando las principales tendencias metodológicas y conceptuales; reconociendo factores que promueven y restringen su desarrollo; y proporcionando bases teóricas que servirán como referente para futuras investigaciones, y el diseño de estrategias competitivas empresariales orientadas hacia la sostenibilidad.</w:t>
      </w:r>
    </w:p>
    <w:p w14:paraId="40A57AAE" w14:textId="77777777" w:rsidR="003A6A51" w:rsidRPr="00D71342" w:rsidRDefault="003A6A51" w:rsidP="00F82428">
      <w:pPr>
        <w:tabs>
          <w:tab w:val="left" w:pos="631"/>
        </w:tabs>
        <w:ind w:left="426" w:right="442"/>
        <w:rPr>
          <w:b/>
          <w:sz w:val="18"/>
        </w:rPr>
      </w:pPr>
    </w:p>
    <w:p w14:paraId="7E65DFAB" w14:textId="680D1534" w:rsidR="003A6A51" w:rsidRPr="00D71342" w:rsidRDefault="003A6A51" w:rsidP="00F82428">
      <w:pPr>
        <w:pStyle w:val="Prrafodelista"/>
        <w:numPr>
          <w:ilvl w:val="0"/>
          <w:numId w:val="2"/>
        </w:numPr>
        <w:tabs>
          <w:tab w:val="left" w:pos="631"/>
        </w:tabs>
        <w:ind w:left="426" w:right="442" w:firstLine="0"/>
        <w:jc w:val="left"/>
        <w:rPr>
          <w:b/>
          <w:sz w:val="18"/>
        </w:rPr>
      </w:pPr>
      <w:r w:rsidRPr="00D71342">
        <w:rPr>
          <w:b/>
          <w:spacing w:val="-2"/>
          <w:sz w:val="18"/>
        </w:rPr>
        <w:t>RECOMENDACIONES</w:t>
      </w:r>
    </w:p>
    <w:p w14:paraId="15B035AF" w14:textId="77777777" w:rsidR="003A6A51" w:rsidRPr="00D71342" w:rsidRDefault="003A6A51" w:rsidP="00F82428">
      <w:pPr>
        <w:pStyle w:val="Textoindependiente"/>
        <w:spacing w:before="158" w:line="259" w:lineRule="auto"/>
        <w:ind w:left="426" w:right="442"/>
        <w:jc w:val="both"/>
      </w:pPr>
      <w:r w:rsidRPr="00D71342">
        <w:t>Con base en el análisis de la literatura y las conclusiones enunciadas, se recomienda a futuras investigaciones ampliar la investigación sobre emprendimiento verde, incorporando diseños longitudinales que permitan observar la evolución a lo largo del tiempo. Igualmente se recomienda expandir el alcance geográfico de la investigación hacia África, América Latina, Europa y otras regiones que no sean de origen asiático dado al vacío evidenciado en la literatura revisada, incorporando bases de datos más amplias con estudios comparativos entre países y regiones que permitan identificar condiciones empresariales, culturales y económicos que promuevan y restrinjan el emprendimiento verde en diferentes contextos.</w:t>
      </w:r>
    </w:p>
    <w:p w14:paraId="11EA7330" w14:textId="77777777" w:rsidR="00E507EC" w:rsidRDefault="003A6A51" w:rsidP="00E507EC">
      <w:pPr>
        <w:pStyle w:val="Textoindependiente"/>
        <w:spacing w:before="158" w:line="259" w:lineRule="auto"/>
        <w:ind w:left="426" w:right="442"/>
        <w:jc w:val="both"/>
      </w:pPr>
      <w:r w:rsidRPr="00D71342">
        <w:t>Se sugiere complementar los enfoques metodológicos</w:t>
      </w:r>
      <w:r w:rsidR="00F82428">
        <w:t xml:space="preserve"> </w:t>
      </w:r>
      <w:r w:rsidRPr="00D71342">
        <w:t xml:space="preserve">predominantes identificados con investigaciones cualitativas y mixtas, por medio de estudios de casos longitudinales como entrevistas en profundidad y análisis narrativos, que permitan </w:t>
      </w:r>
    </w:p>
    <w:p w14:paraId="24082F1A" w14:textId="1025B702" w:rsidR="003A6A51" w:rsidRPr="00D71342" w:rsidRDefault="003A6A51" w:rsidP="00E507EC">
      <w:pPr>
        <w:pStyle w:val="Textoindependiente"/>
        <w:spacing w:before="158" w:line="259" w:lineRule="auto"/>
        <w:ind w:right="725"/>
        <w:jc w:val="both"/>
      </w:pPr>
      <w:r w:rsidRPr="00D71342">
        <w:t>comprender con mayor profundidad las motivaciones,</w:t>
      </w:r>
      <w:r w:rsidR="00410BD8">
        <w:t xml:space="preserve"> experienci</w:t>
      </w:r>
      <w:r w:rsidRPr="00D71342">
        <w:t xml:space="preserve">as, percepciones y desafíos de los emprendedores verde desde una perspectiva más contextual.  </w:t>
      </w:r>
    </w:p>
    <w:p w14:paraId="6903B895" w14:textId="77777777" w:rsidR="003A6A51" w:rsidRPr="00D71342" w:rsidRDefault="003A6A51" w:rsidP="00410BD8">
      <w:pPr>
        <w:pStyle w:val="Textoindependiente"/>
        <w:spacing w:before="158" w:line="259" w:lineRule="auto"/>
        <w:ind w:right="725"/>
        <w:jc w:val="both"/>
      </w:pPr>
      <w:r w:rsidRPr="00D71342">
        <w:t>Se sugiere a las instituciones de educación superior, fortalecer la formación en sostenibilidad y emprendimiento verde, promoviendo las competencias ambientales, innovación, liderazgo y desarrollo empresarial, teniendo en cuenta que la literatura analizada demuestra que la educación constituye uno de los principales factores que inciden en el desarrollo de la auto eficiencia, los valores ambientales y la intención emprendedora de los estudiantes.</w:t>
      </w:r>
    </w:p>
    <w:p w14:paraId="7D441D5F" w14:textId="77777777" w:rsidR="00B64875" w:rsidRPr="00D71342" w:rsidRDefault="003A6A51" w:rsidP="00410BD8">
      <w:pPr>
        <w:pStyle w:val="Textoindependiente"/>
        <w:spacing w:before="158" w:line="259" w:lineRule="auto"/>
        <w:ind w:right="725"/>
        <w:jc w:val="both"/>
      </w:pPr>
      <w:r w:rsidRPr="00D71342">
        <w:t>Para las organizaciones en especial a las micro, pequeñas y medianas empresas, interesadas en implementar modelos de emprendimiento verde como estrategia competitiva, considerar</w:t>
      </w:r>
    </w:p>
    <w:p w14:paraId="4ECD188D" w14:textId="43018FDF" w:rsidR="003A6A51" w:rsidRPr="00D71342" w:rsidRDefault="003A6A51" w:rsidP="00410BD8">
      <w:pPr>
        <w:pStyle w:val="Textoindependiente"/>
        <w:spacing w:before="158" w:line="259" w:lineRule="auto"/>
        <w:ind w:right="725"/>
        <w:jc w:val="both"/>
      </w:pPr>
      <w:r w:rsidRPr="00D71342">
        <w:t>incluir de manera integral los factores individuales, organizacionales y social/ambiental, fortaleciendo la planificación estratégica, el desarrollo de capacidades internas y la cultura organizacional, con el fin de maximizar el impacto sostenible. Igualmente invertir en investigación y desarrollo verde, establecer alianzas con universidades y centros de investigación desarrollando sistemas de gestión de sostenibilidad ambiental, implementar prácticas de gestión de recursos humanos verde integrando criterios ambientales en todos los procesos del talento, y adoptar modelos de negocio basados en la economía circular y la sostenibilidad; diseñando productos y servicios que minimicen el impacto ambiental, fortaleciendo las capacidades técnicas y administrativas que disminuyan la resistencia al cambio y eliminar las desventajas contra organizaciones establecidas.</w:t>
      </w:r>
    </w:p>
    <w:p w14:paraId="176B555F" w14:textId="77777777" w:rsidR="00F62A65" w:rsidRPr="00D71342" w:rsidRDefault="003A6A51" w:rsidP="00410BD8">
      <w:pPr>
        <w:pStyle w:val="Textoindependiente"/>
        <w:spacing w:before="158" w:line="259" w:lineRule="auto"/>
        <w:ind w:right="725"/>
        <w:jc w:val="both"/>
      </w:pPr>
      <w:r w:rsidRPr="00D71342">
        <w:t>Se propone a los formadores de políticas públicas y las entidades financieras diseñar y promover líneas de crédito verde, incentivos</w:t>
      </w:r>
      <w:r w:rsidR="00F62A65" w:rsidRPr="00D71342">
        <w:t xml:space="preserve"> </w:t>
      </w:r>
      <w:r w:rsidRPr="00D71342">
        <w:t>tri</w:t>
      </w:r>
      <w:r w:rsidR="00F62A65" w:rsidRPr="00D71342">
        <w:t>-</w:t>
      </w:r>
    </w:p>
    <w:p w14:paraId="2D33ACB2" w14:textId="6EE30CB4" w:rsidR="003A6A51" w:rsidRPr="00D71342" w:rsidRDefault="003A6A51" w:rsidP="00410BD8">
      <w:pPr>
        <w:pStyle w:val="Textoindependiente"/>
        <w:spacing w:before="158" w:line="259" w:lineRule="auto"/>
        <w:ind w:right="725"/>
        <w:jc w:val="both"/>
      </w:pPr>
      <w:r w:rsidRPr="00D71342">
        <w:t>butarios, incentivos fiscales y mecanismos de acompañamiento que reduzcan el riesgo financiero en los emprendimientos asociados sostenibles, teniendo en cuenta que el factor económico constituye la principal restricción del emprendimiento verde según la literatura analizada.</w:t>
      </w:r>
    </w:p>
    <w:p w14:paraId="3274E97A" w14:textId="77777777" w:rsidR="003A6A51" w:rsidRPr="00D71342" w:rsidRDefault="003A6A51" w:rsidP="00410BD8">
      <w:pPr>
        <w:pStyle w:val="Textoindependiente"/>
        <w:spacing w:before="158" w:line="259" w:lineRule="auto"/>
        <w:ind w:right="725"/>
        <w:jc w:val="both"/>
      </w:pPr>
      <w:r w:rsidRPr="00D71342">
        <w:t>Así mismo, resulta conveniente desarrollar investigaciones sobre el emprendimiento femenino, explorando las barreras y estrategias que tienen las mujeres en este campo; investigar el impacto de las tecnologías emergentes como la inteligencia artificial, el blockchain y el internet de las cosas en el emprendimiento verde; y realizar estudios comparativos de marcos teóricos que superen la fragmentación terminológica y conceptual del emprendimiento verde.</w:t>
      </w:r>
    </w:p>
    <w:p w14:paraId="442A7FD7" w14:textId="4D5DAB81" w:rsidR="00913D5D" w:rsidRDefault="003A6A51" w:rsidP="00410BD8">
      <w:pPr>
        <w:pStyle w:val="Textoindependiente"/>
        <w:spacing w:before="158" w:line="259" w:lineRule="auto"/>
        <w:ind w:right="725"/>
        <w:jc w:val="both"/>
      </w:pPr>
      <w:r w:rsidRPr="00D71342">
        <w:t>Por último, actualizar y difundir periódicamente los hallazgos de esta temática mediante la elaboración y publicación de artículos científicos, con el fin de fortalecer el conocimiento, contribuir a la comunidad académica y visibilizar el emprendimiento verde como una línea de investigación relevante para la ingeniería industrial y el desarrollo empresarial.</w:t>
      </w:r>
    </w:p>
    <w:p w14:paraId="1FF5F2D1" w14:textId="77777777" w:rsidR="00913D5D" w:rsidRPr="00D71342" w:rsidRDefault="00913D5D" w:rsidP="00410BD8">
      <w:pPr>
        <w:tabs>
          <w:tab w:val="left" w:pos="631"/>
        </w:tabs>
        <w:ind w:right="725"/>
        <w:rPr>
          <w:b/>
          <w:sz w:val="18"/>
        </w:rPr>
      </w:pPr>
    </w:p>
    <w:p w14:paraId="474455A2" w14:textId="06B81E35" w:rsidR="00913D5D" w:rsidRPr="00D71342" w:rsidRDefault="00913D5D" w:rsidP="00BF61C5">
      <w:pPr>
        <w:pStyle w:val="Prrafodelista"/>
        <w:numPr>
          <w:ilvl w:val="0"/>
          <w:numId w:val="2"/>
        </w:numPr>
        <w:tabs>
          <w:tab w:val="left" w:pos="284"/>
        </w:tabs>
        <w:ind w:left="0" w:right="442" w:firstLine="0"/>
        <w:jc w:val="left"/>
        <w:rPr>
          <w:b/>
          <w:spacing w:val="-2"/>
          <w:sz w:val="18"/>
        </w:rPr>
      </w:pPr>
      <w:r w:rsidRPr="00D71342">
        <w:rPr>
          <w:b/>
          <w:spacing w:val="-2"/>
          <w:sz w:val="18"/>
        </w:rPr>
        <w:t>BIBLIOGRAFÍA</w:t>
      </w:r>
    </w:p>
    <w:p w14:paraId="03D6529F" w14:textId="77777777" w:rsidR="00EA0DD4" w:rsidRPr="00D71342" w:rsidRDefault="00EA0DD4" w:rsidP="00F82428">
      <w:pPr>
        <w:tabs>
          <w:tab w:val="left" w:pos="631"/>
        </w:tabs>
        <w:ind w:left="426" w:right="442"/>
        <w:rPr>
          <w:b/>
          <w:sz w:val="18"/>
        </w:rPr>
      </w:pPr>
    </w:p>
    <w:p w14:paraId="0A5F7A9F" w14:textId="77777777" w:rsidR="004B5548" w:rsidRDefault="00EA0DD4" w:rsidP="00E507EC">
      <w:pPr>
        <w:ind w:left="709" w:right="725" w:hanging="708"/>
        <w:jc w:val="both"/>
        <w:rPr>
          <w:sz w:val="18"/>
          <w:szCs w:val="18"/>
        </w:rPr>
      </w:pPr>
      <w:r w:rsidRPr="00D71342">
        <w:rPr>
          <w:sz w:val="18"/>
          <w:szCs w:val="18"/>
        </w:rPr>
        <w:t>Adjimah, H. P., Agyapong, J. M., Abiemo, M. K., &amp; Tulasi, E. E. (2025). Empowering green entrepreneurship through education: The role of self-efficacy, financial security, and gender among Ghanaian university students.</w:t>
      </w:r>
      <w:r w:rsidR="00F82428">
        <w:rPr>
          <w:sz w:val="18"/>
          <w:szCs w:val="18"/>
        </w:rPr>
        <w:t xml:space="preserve"> </w:t>
      </w:r>
    </w:p>
    <w:p w14:paraId="77F52368" w14:textId="709B2175" w:rsidR="00EA0DD4" w:rsidRPr="00D71342" w:rsidRDefault="00EA0DD4" w:rsidP="004B5548">
      <w:pPr>
        <w:ind w:left="1134" w:right="725"/>
        <w:jc w:val="both"/>
        <w:rPr>
          <w:sz w:val="18"/>
          <w:szCs w:val="18"/>
        </w:rPr>
      </w:pPr>
      <w:r w:rsidRPr="00410BD8">
        <w:rPr>
          <w:sz w:val="18"/>
          <w:szCs w:val="18"/>
        </w:rPr>
        <w:lastRenderedPageBreak/>
        <w:t>Sustainable Futures, 10</w:t>
      </w:r>
      <w:r w:rsidRPr="00D71342">
        <w:rPr>
          <w:sz w:val="18"/>
          <w:szCs w:val="18"/>
        </w:rPr>
        <w:t>, 101436. https://doi.org/10.1016/j.sftr.2025.101436</w:t>
      </w:r>
    </w:p>
    <w:p w14:paraId="125C4891" w14:textId="77777777" w:rsidR="00EA0DD4" w:rsidRPr="00D71342" w:rsidRDefault="00EA0DD4" w:rsidP="00F82428">
      <w:pPr>
        <w:ind w:left="1134" w:right="442" w:hanging="708"/>
        <w:jc w:val="both"/>
        <w:rPr>
          <w:sz w:val="18"/>
          <w:szCs w:val="18"/>
        </w:rPr>
      </w:pPr>
      <w:r w:rsidRPr="00D71342">
        <w:rPr>
          <w:sz w:val="18"/>
          <w:szCs w:val="18"/>
        </w:rPr>
        <w:t>Albhirat, M. M., Rashid, A., Rasheed, R., Rasool, S., Zulkiffli, S. N. A., Zia-Ul-Haq, H. M., &amp; Mohammad, A. M. (2024). The PRISMA statement in enviropreneurship study: A systematic literature and a research agenda.</w:t>
      </w:r>
      <w:r w:rsidRPr="00D71342">
        <w:rPr>
          <w:i/>
          <w:iCs/>
          <w:sz w:val="18"/>
          <w:szCs w:val="18"/>
        </w:rPr>
        <w:t xml:space="preserve"> Cleaner Engineering And Technology, 18</w:t>
      </w:r>
      <w:r w:rsidRPr="00D71342">
        <w:rPr>
          <w:sz w:val="18"/>
          <w:szCs w:val="18"/>
        </w:rPr>
        <w:t>, 100721. https://doi.org/10.1016/j.clet.2024.100721</w:t>
      </w:r>
    </w:p>
    <w:p w14:paraId="795898D9" w14:textId="77777777" w:rsidR="00EA0DD4" w:rsidRPr="00D71342" w:rsidRDefault="00EA0DD4" w:rsidP="00F82428">
      <w:pPr>
        <w:ind w:left="1134" w:right="442" w:hanging="708"/>
        <w:jc w:val="both"/>
        <w:rPr>
          <w:sz w:val="18"/>
          <w:szCs w:val="18"/>
        </w:rPr>
      </w:pPr>
      <w:r w:rsidRPr="00D71342">
        <w:rPr>
          <w:sz w:val="18"/>
          <w:szCs w:val="18"/>
        </w:rPr>
        <w:t>Al-Mamary, Y. H. (2025). Factors shaping green entrepreneurial intentions towards green innovation: an integrated model.</w:t>
      </w:r>
      <w:r w:rsidRPr="00D71342">
        <w:rPr>
          <w:i/>
          <w:iCs/>
          <w:sz w:val="18"/>
          <w:szCs w:val="18"/>
        </w:rPr>
        <w:t xml:space="preserve"> Future Business Journal, 11</w:t>
      </w:r>
      <w:r w:rsidRPr="00D71342">
        <w:rPr>
          <w:sz w:val="18"/>
          <w:szCs w:val="18"/>
        </w:rPr>
        <w:t>(1). https://doi.org/10.1186/s43093-025-00443-8</w:t>
      </w:r>
    </w:p>
    <w:p w14:paraId="56ECA32F" w14:textId="77777777" w:rsidR="00EA0DD4" w:rsidRPr="00D71342" w:rsidRDefault="00EA0DD4" w:rsidP="00F82428">
      <w:pPr>
        <w:ind w:left="1134" w:right="442" w:hanging="708"/>
        <w:jc w:val="both"/>
        <w:rPr>
          <w:sz w:val="18"/>
          <w:szCs w:val="18"/>
        </w:rPr>
      </w:pPr>
      <w:r w:rsidRPr="00D71342">
        <w:rPr>
          <w:sz w:val="18"/>
          <w:szCs w:val="18"/>
        </w:rPr>
        <w:t>Al-Romeedy, B. S., &amp; Alharethi, T. (2024). Sustainable Tourism Performance Through Green Talent Management: The Mediating Power of Green Entrepreneurship and Climate.</w:t>
      </w:r>
      <w:r w:rsidRPr="00D71342">
        <w:rPr>
          <w:i/>
          <w:iCs/>
          <w:sz w:val="18"/>
          <w:szCs w:val="18"/>
        </w:rPr>
        <w:t xml:space="preserve"> Sustainability, 16</w:t>
      </w:r>
      <w:r w:rsidRPr="00D71342">
        <w:rPr>
          <w:sz w:val="18"/>
          <w:szCs w:val="18"/>
        </w:rPr>
        <w:t>(22), 9900. https://doi.org/10.3390/su16229900</w:t>
      </w:r>
    </w:p>
    <w:p w14:paraId="4F3D20B5" w14:textId="77777777" w:rsidR="00EA0DD4" w:rsidRPr="00D71342" w:rsidRDefault="00EA0DD4" w:rsidP="00F82428">
      <w:pPr>
        <w:ind w:left="1134" w:right="442" w:hanging="708"/>
        <w:jc w:val="both"/>
        <w:rPr>
          <w:sz w:val="18"/>
          <w:szCs w:val="18"/>
        </w:rPr>
      </w:pPr>
      <w:r w:rsidRPr="00D71342">
        <w:rPr>
          <w:sz w:val="18"/>
          <w:szCs w:val="18"/>
        </w:rPr>
        <w:t>Alwakid, W., Aparicio, S., &amp; Urbano, D. (2020). Cultural Antecedents of Green Entrepreneurship in Saudi Arabia: An Institutional Approach.</w:t>
      </w:r>
      <w:r w:rsidRPr="00D71342">
        <w:rPr>
          <w:i/>
          <w:iCs/>
          <w:sz w:val="18"/>
          <w:szCs w:val="18"/>
        </w:rPr>
        <w:t xml:space="preserve"> Sustainability, 12</w:t>
      </w:r>
      <w:r w:rsidRPr="00D71342">
        <w:rPr>
          <w:sz w:val="18"/>
          <w:szCs w:val="18"/>
        </w:rPr>
        <w:t>(9), 3673. https://doi.org/10.3390/su12093673</w:t>
      </w:r>
    </w:p>
    <w:p w14:paraId="771CA966" w14:textId="77777777" w:rsidR="00EA0DD4" w:rsidRPr="00D71342" w:rsidRDefault="00EA0DD4" w:rsidP="00F82428">
      <w:pPr>
        <w:ind w:left="1134" w:right="442" w:hanging="708"/>
        <w:jc w:val="both"/>
        <w:rPr>
          <w:sz w:val="18"/>
          <w:szCs w:val="18"/>
        </w:rPr>
      </w:pPr>
      <w:r w:rsidRPr="00D71342">
        <w:rPr>
          <w:sz w:val="18"/>
          <w:szCs w:val="18"/>
        </w:rPr>
        <w:t>Alwakid, W., Aparicio, S., &amp; Urbano, D. (2021). The influence of green entrepreneurship on sustainable development in Saudi Arabia: The role of formal institutions.</w:t>
      </w:r>
      <w:r w:rsidRPr="00D71342">
        <w:rPr>
          <w:i/>
          <w:iCs/>
          <w:sz w:val="18"/>
          <w:szCs w:val="18"/>
        </w:rPr>
        <w:t xml:space="preserve"> International Journal</w:t>
      </w:r>
      <w:r w:rsidRPr="00D71342">
        <w:rPr>
          <w:sz w:val="18"/>
          <w:szCs w:val="18"/>
        </w:rPr>
        <w:t xml:space="preserve"> </w:t>
      </w:r>
      <w:r w:rsidRPr="00D71342">
        <w:rPr>
          <w:i/>
          <w:iCs/>
          <w:sz w:val="18"/>
          <w:szCs w:val="18"/>
        </w:rPr>
        <w:t>Of Environmental Research And Public Health, 18</w:t>
      </w:r>
      <w:r w:rsidRPr="00D71342">
        <w:rPr>
          <w:sz w:val="18"/>
          <w:szCs w:val="18"/>
        </w:rPr>
        <w:t>(10), 5433. https://doi.org/10.3390/ijerph18105433</w:t>
      </w:r>
    </w:p>
    <w:p w14:paraId="219BB29B" w14:textId="77777777" w:rsidR="00EA0DD4" w:rsidRPr="00D71342" w:rsidRDefault="00EA0DD4" w:rsidP="00F82428">
      <w:pPr>
        <w:ind w:left="1134" w:right="442" w:hanging="708"/>
        <w:jc w:val="both"/>
        <w:rPr>
          <w:sz w:val="18"/>
          <w:szCs w:val="18"/>
        </w:rPr>
      </w:pPr>
      <w:r w:rsidRPr="00D71342">
        <w:rPr>
          <w:sz w:val="18"/>
          <w:szCs w:val="18"/>
        </w:rPr>
        <w:t>Baquero, A. (2024a). Linking green entrepreneurial orientation and ambidextrous green innovation to stimulate green performance: a moderated mediation approach.</w:t>
      </w:r>
      <w:r w:rsidRPr="00D71342">
        <w:rPr>
          <w:i/>
          <w:iCs/>
          <w:sz w:val="18"/>
          <w:szCs w:val="18"/>
        </w:rPr>
        <w:t xml:space="preserve"> Business Process Management Journal, 30</w:t>
      </w:r>
      <w:r w:rsidRPr="00D71342">
        <w:rPr>
          <w:sz w:val="18"/>
          <w:szCs w:val="18"/>
        </w:rPr>
        <w:t>(8), 71-98. https://doi.org/10.1108/bpmj-09-2023-0703</w:t>
      </w:r>
    </w:p>
    <w:p w14:paraId="6D1FA438" w14:textId="77777777" w:rsidR="00EA0DD4" w:rsidRPr="00D71342" w:rsidRDefault="00EA0DD4" w:rsidP="00F82428">
      <w:pPr>
        <w:ind w:left="1134" w:right="442" w:hanging="708"/>
        <w:jc w:val="both"/>
        <w:rPr>
          <w:sz w:val="18"/>
          <w:szCs w:val="18"/>
        </w:rPr>
      </w:pPr>
      <w:r w:rsidRPr="00D71342">
        <w:rPr>
          <w:sz w:val="18"/>
          <w:szCs w:val="18"/>
        </w:rPr>
        <w:t xml:space="preserve">Baquero, A. (2024b). Optimizing green knowledge acquisition through entrepreneurial orientation and resource orchestration for sustainable business performance. </w:t>
      </w:r>
      <w:r w:rsidRPr="00D71342">
        <w:rPr>
          <w:i/>
          <w:iCs/>
          <w:sz w:val="18"/>
          <w:szCs w:val="18"/>
        </w:rPr>
        <w:t>Marketing Intelligence &amp; Planning, 43</w:t>
      </w:r>
      <w:r w:rsidRPr="00D71342">
        <w:rPr>
          <w:sz w:val="18"/>
          <w:szCs w:val="18"/>
        </w:rPr>
        <w:t>(2), 241-271. https://doi.org/10.1108/mip-07-2023-0330</w:t>
      </w:r>
    </w:p>
    <w:p w14:paraId="71EBF638" w14:textId="77777777" w:rsidR="00EA0DD4" w:rsidRPr="00D71342" w:rsidRDefault="00EA0DD4" w:rsidP="00F82428">
      <w:pPr>
        <w:ind w:left="1134" w:right="442" w:hanging="708"/>
        <w:jc w:val="both"/>
        <w:rPr>
          <w:sz w:val="18"/>
          <w:szCs w:val="18"/>
        </w:rPr>
      </w:pPr>
      <w:r w:rsidRPr="00D71342">
        <w:rPr>
          <w:sz w:val="18"/>
          <w:szCs w:val="18"/>
        </w:rPr>
        <w:t>Chen, S., Shen, W., Qiu, Z., Liu, R., &amp; Mardani, A. (2023). Who are the green entrepreneurs in China? The relationship between entrepreneurs’ characteristics, green entrepreneurship orientation, and corporate financial performance.</w:t>
      </w:r>
      <w:r w:rsidRPr="00D71342">
        <w:rPr>
          <w:i/>
          <w:iCs/>
          <w:sz w:val="18"/>
          <w:szCs w:val="18"/>
        </w:rPr>
        <w:t xml:space="preserve"> Journal of Business Research, 165</w:t>
      </w:r>
      <w:r w:rsidRPr="00D71342">
        <w:rPr>
          <w:sz w:val="18"/>
          <w:szCs w:val="18"/>
        </w:rPr>
        <w:t>, 113960. https://doi.org/10.1016/j.jbusres.2023.113960</w:t>
      </w:r>
    </w:p>
    <w:p w14:paraId="0451C88B" w14:textId="77777777" w:rsidR="00EA0DD4" w:rsidRPr="00D71342" w:rsidRDefault="00EA0DD4" w:rsidP="00F82428">
      <w:pPr>
        <w:ind w:left="1134" w:right="442" w:hanging="708"/>
        <w:jc w:val="both"/>
        <w:rPr>
          <w:sz w:val="18"/>
          <w:szCs w:val="18"/>
        </w:rPr>
      </w:pPr>
      <w:r w:rsidRPr="00D71342">
        <w:rPr>
          <w:sz w:val="18"/>
          <w:szCs w:val="18"/>
        </w:rPr>
        <w:t>Diale, C. D., Kanakana-Katumba, M. G., &amp; Maladzhi, R. W. (2021). Environmental entrepreneurship as an innovation catalyst for social change: A systematic review as a basis for future research.</w:t>
      </w:r>
      <w:r w:rsidRPr="00D71342">
        <w:rPr>
          <w:i/>
          <w:iCs/>
          <w:sz w:val="18"/>
          <w:szCs w:val="18"/>
        </w:rPr>
        <w:t xml:space="preserve"> Advances in Science, Technology and Engineering Systems Journal, 6</w:t>
      </w:r>
      <w:r w:rsidRPr="00D71342">
        <w:rPr>
          <w:sz w:val="18"/>
          <w:szCs w:val="18"/>
        </w:rPr>
        <w:t>(1), 393-400. https://dx.doi.org/10.25046/aj060145</w:t>
      </w:r>
    </w:p>
    <w:p w14:paraId="50873C42" w14:textId="77777777" w:rsidR="00EA0DD4" w:rsidRPr="00D71342" w:rsidRDefault="00EA0DD4" w:rsidP="00F82428">
      <w:pPr>
        <w:ind w:left="1134" w:right="442" w:hanging="708"/>
        <w:jc w:val="both"/>
        <w:rPr>
          <w:sz w:val="18"/>
          <w:szCs w:val="18"/>
        </w:rPr>
      </w:pPr>
      <w:r w:rsidRPr="00D71342">
        <w:rPr>
          <w:sz w:val="18"/>
          <w:szCs w:val="18"/>
        </w:rPr>
        <w:t>Ding, Y., Yang, H., Peng, C., &amp; Lyu, C. (2025</w:t>
      </w:r>
      <w:r w:rsidRPr="00D71342">
        <w:rPr>
          <w:i/>
          <w:iCs/>
          <w:sz w:val="18"/>
          <w:szCs w:val="18"/>
        </w:rPr>
        <w:t>). How do entrepreneurial traits affect green entrepreneurial performance? A fuzzy set qualitative comparative analysis (fsQCA). Results in Engineering, 27</w:t>
      </w:r>
      <w:r w:rsidRPr="00D71342">
        <w:rPr>
          <w:sz w:val="18"/>
          <w:szCs w:val="18"/>
        </w:rPr>
        <w:t>, 105711. https://doi.org/10.1016/j.rineng.2025.105711.</w:t>
      </w:r>
    </w:p>
    <w:p w14:paraId="6F1F9FEB" w14:textId="36310FC9" w:rsidR="00EA0DD4" w:rsidRPr="004B5548" w:rsidRDefault="00EA0DD4" w:rsidP="004B5548">
      <w:pPr>
        <w:ind w:left="1134" w:right="442" w:hanging="708"/>
        <w:jc w:val="both"/>
        <w:rPr>
          <w:sz w:val="18"/>
          <w:szCs w:val="18"/>
        </w:rPr>
      </w:pPr>
      <w:r w:rsidRPr="00D71342">
        <w:rPr>
          <w:sz w:val="18"/>
          <w:szCs w:val="18"/>
        </w:rPr>
        <w:t>Ferreira, N. C., &amp; Ferreira, J. J. (2023). Quo vadis sustainable entrepreneurship? A systematic</w:t>
      </w:r>
      <w:r w:rsidR="00201F71">
        <w:rPr>
          <w:sz w:val="18"/>
          <w:szCs w:val="18"/>
        </w:rPr>
        <w:t xml:space="preserve"> </w:t>
      </w:r>
      <w:r w:rsidRPr="00D71342">
        <w:rPr>
          <w:sz w:val="18"/>
          <w:szCs w:val="18"/>
        </w:rPr>
        <w:t>literature review of related drivers and inhibitors in SMEs.</w:t>
      </w:r>
      <w:r w:rsidRPr="004B5548">
        <w:rPr>
          <w:sz w:val="18"/>
          <w:szCs w:val="18"/>
        </w:rPr>
        <w:t xml:space="preserve"> IEEE</w:t>
      </w:r>
      <w:r w:rsidR="004B5548">
        <w:rPr>
          <w:sz w:val="18"/>
          <w:szCs w:val="18"/>
        </w:rPr>
        <w:t xml:space="preserve"> </w:t>
      </w:r>
      <w:r w:rsidRPr="004B5548">
        <w:rPr>
          <w:sz w:val="18"/>
          <w:szCs w:val="18"/>
        </w:rPr>
        <w:t>Transactions on Engineering Management, 71</w:t>
      </w:r>
      <w:r w:rsidRPr="00D71342">
        <w:rPr>
          <w:sz w:val="18"/>
          <w:szCs w:val="18"/>
        </w:rPr>
        <w:t>, 9644-9660. https://doi.org/10.1109/TEM.2023.3305475</w:t>
      </w:r>
    </w:p>
    <w:p w14:paraId="2B46E273" w14:textId="503D2813" w:rsidR="00EA0DD4" w:rsidRPr="00D71342" w:rsidRDefault="00EA0DD4" w:rsidP="004B5548">
      <w:pPr>
        <w:ind w:left="1134" w:right="442" w:hanging="708"/>
        <w:jc w:val="both"/>
        <w:rPr>
          <w:sz w:val="18"/>
          <w:szCs w:val="18"/>
        </w:rPr>
      </w:pPr>
      <w:r w:rsidRPr="00D71342">
        <w:rPr>
          <w:sz w:val="18"/>
          <w:szCs w:val="18"/>
        </w:rPr>
        <w:t>Gong, Z., &amp; Zhuang, J. (2024). The Moderating Role of</w:t>
      </w:r>
      <w:r w:rsidR="004B5548">
        <w:rPr>
          <w:sz w:val="18"/>
          <w:szCs w:val="18"/>
        </w:rPr>
        <w:t xml:space="preserve"> </w:t>
      </w:r>
      <w:r w:rsidRPr="00D71342">
        <w:rPr>
          <w:sz w:val="18"/>
          <w:szCs w:val="18"/>
        </w:rPr>
        <w:t>Entrepreneurial Narrative in the Impact of Environmental Regulation on Migrant Workers’ Entrepreneurial Legitimacy from a Green Entrepreneurship Perspective.</w:t>
      </w:r>
      <w:r w:rsidRPr="00F82428">
        <w:rPr>
          <w:sz w:val="18"/>
          <w:szCs w:val="18"/>
        </w:rPr>
        <w:t xml:space="preserve"> Sustainability, 16</w:t>
      </w:r>
      <w:r w:rsidRPr="00D71342">
        <w:rPr>
          <w:sz w:val="18"/>
          <w:szCs w:val="18"/>
        </w:rPr>
        <w:t>(15), 6520. https://doi.org/10.3390/su16156520</w:t>
      </w:r>
    </w:p>
    <w:p w14:paraId="596A14CA" w14:textId="77777777" w:rsidR="00EA0DD4" w:rsidRPr="00D71342" w:rsidRDefault="00EA0DD4" w:rsidP="00201F71">
      <w:pPr>
        <w:ind w:left="709" w:right="725" w:hanging="708"/>
        <w:jc w:val="both"/>
        <w:rPr>
          <w:sz w:val="18"/>
          <w:szCs w:val="18"/>
        </w:rPr>
      </w:pPr>
      <w:r w:rsidRPr="00D71342">
        <w:rPr>
          <w:sz w:val="18"/>
          <w:szCs w:val="18"/>
        </w:rPr>
        <w:t>Hermawan, I., Hindrawati, G., Setyadi, D., Sartono, S., &amp; Adah, N. N. (2025). Building entrepreneurship based on green innovation to promote sustainable development: a qualitative study perspective.</w:t>
      </w:r>
      <w:r w:rsidRPr="00D71342">
        <w:rPr>
          <w:i/>
          <w:iCs/>
          <w:sz w:val="18"/>
          <w:szCs w:val="18"/>
        </w:rPr>
        <w:t xml:space="preserve"> Management &amp; Accounting Review (MAR), 24</w:t>
      </w:r>
      <w:r w:rsidRPr="00D71342">
        <w:rPr>
          <w:sz w:val="18"/>
          <w:szCs w:val="18"/>
        </w:rPr>
        <w:t>(2), 231-263. https://doi.org/10.24191/MAR.V24i02-10</w:t>
      </w:r>
    </w:p>
    <w:p w14:paraId="55AC805E" w14:textId="77777777" w:rsidR="00EA0DD4" w:rsidRPr="00D71342" w:rsidRDefault="00EA0DD4" w:rsidP="00201F71">
      <w:pPr>
        <w:ind w:left="709" w:right="725" w:hanging="708"/>
        <w:jc w:val="both"/>
        <w:rPr>
          <w:sz w:val="18"/>
          <w:szCs w:val="18"/>
        </w:rPr>
      </w:pPr>
      <w:r w:rsidRPr="00D71342">
        <w:rPr>
          <w:sz w:val="18"/>
          <w:szCs w:val="18"/>
        </w:rPr>
        <w:t>Hossain, M. I., Ong, T. S., Jamadar, Y., Teh, B. H., &amp; Islam, A. (2024). Nexus among green entrepreneurship orientation, green ambidexterity innovation, green technological turbulence and green performance: moderated-mediation evidence from Malaysian manufacturing SMEs.</w:t>
      </w:r>
      <w:r w:rsidRPr="00D71342">
        <w:rPr>
          <w:i/>
          <w:iCs/>
          <w:sz w:val="18"/>
          <w:szCs w:val="18"/>
        </w:rPr>
        <w:t xml:space="preserve"> European Journal Of Innovation Management, 28</w:t>
      </w:r>
      <w:r w:rsidRPr="00D71342">
        <w:rPr>
          <w:sz w:val="18"/>
          <w:szCs w:val="18"/>
        </w:rPr>
        <w:t>(7), 2761-2783. https://doi.org/10.1108/ejim-04-2024-0495</w:t>
      </w:r>
    </w:p>
    <w:p w14:paraId="55C58112" w14:textId="77777777" w:rsidR="00EA0DD4" w:rsidRPr="00D71342" w:rsidRDefault="00EA0DD4" w:rsidP="00201F71">
      <w:pPr>
        <w:ind w:left="709" w:right="725" w:hanging="708"/>
        <w:jc w:val="both"/>
        <w:rPr>
          <w:sz w:val="18"/>
          <w:szCs w:val="18"/>
        </w:rPr>
      </w:pPr>
      <w:r w:rsidRPr="00D71342">
        <w:rPr>
          <w:sz w:val="18"/>
          <w:szCs w:val="18"/>
        </w:rPr>
        <w:t>Hu, W., &amp; Tresirichod, T. (2025). Green Entrepreneurial Orientation and Sustainable Performance: A Moderated Mediation Analysis in Chinese Manufacturing.</w:t>
      </w:r>
      <w:r w:rsidRPr="00D71342">
        <w:rPr>
          <w:i/>
          <w:iCs/>
          <w:sz w:val="18"/>
          <w:szCs w:val="18"/>
        </w:rPr>
        <w:t xml:space="preserve"> Tehnički glasnik, 19</w:t>
      </w:r>
      <w:r w:rsidRPr="00D71342">
        <w:rPr>
          <w:sz w:val="18"/>
          <w:szCs w:val="18"/>
        </w:rPr>
        <w:t>(2), 252-260. https://doi.org/10.31803/tg-20241018061352</w:t>
      </w:r>
    </w:p>
    <w:p w14:paraId="14F57119" w14:textId="77777777" w:rsidR="00EA0DD4" w:rsidRPr="00D71342" w:rsidRDefault="00EA0DD4" w:rsidP="00201F71">
      <w:pPr>
        <w:ind w:left="709" w:right="725" w:hanging="708"/>
        <w:jc w:val="both"/>
        <w:rPr>
          <w:sz w:val="18"/>
          <w:szCs w:val="18"/>
        </w:rPr>
      </w:pPr>
      <w:r w:rsidRPr="00D71342">
        <w:rPr>
          <w:sz w:val="18"/>
          <w:szCs w:val="18"/>
        </w:rPr>
        <w:t>Iftikar, T., Hussain, S., Malik, M. I., Hyder, S., Kaleem, M., &amp; Saqib, A. (2022). Green human resource management and pro-environmental behaviour nexus with the lens of AMO theory.</w:t>
      </w:r>
      <w:r w:rsidRPr="00D71342">
        <w:rPr>
          <w:i/>
          <w:iCs/>
          <w:sz w:val="18"/>
          <w:szCs w:val="18"/>
        </w:rPr>
        <w:t xml:space="preserve"> Cogent Business &amp; Management, 9</w:t>
      </w:r>
      <w:r w:rsidRPr="00D71342">
        <w:rPr>
          <w:sz w:val="18"/>
          <w:szCs w:val="18"/>
        </w:rPr>
        <w:t>(1). https://doi.org/10.1080/23311975.2022.2124603</w:t>
      </w:r>
    </w:p>
    <w:p w14:paraId="27009297" w14:textId="77777777" w:rsidR="00EA0DD4" w:rsidRPr="00D71342" w:rsidRDefault="00EA0DD4" w:rsidP="00201F71">
      <w:pPr>
        <w:ind w:left="709" w:right="725" w:hanging="708"/>
        <w:jc w:val="both"/>
        <w:rPr>
          <w:sz w:val="18"/>
          <w:szCs w:val="18"/>
        </w:rPr>
      </w:pPr>
      <w:r w:rsidRPr="00D71342">
        <w:rPr>
          <w:sz w:val="18"/>
          <w:szCs w:val="18"/>
        </w:rPr>
        <w:t>Jan, I. U., &amp; Kim, E. (2024). Green Entrepreneurship Intention among Business Students.</w:t>
      </w:r>
      <w:r w:rsidRPr="00D71342">
        <w:rPr>
          <w:i/>
          <w:iCs/>
          <w:sz w:val="18"/>
          <w:szCs w:val="18"/>
        </w:rPr>
        <w:t xml:space="preserve"> </w:t>
      </w:r>
      <w:r w:rsidRPr="00D71342">
        <w:rPr>
          <w:rFonts w:ascii="Batang" w:eastAsia="Batang" w:hAnsi="Batang" w:cs="Batang" w:hint="eastAsia"/>
          <w:i/>
          <w:iCs/>
          <w:sz w:val="18"/>
          <w:szCs w:val="18"/>
        </w:rPr>
        <w:t>마케팅논집</w:t>
      </w:r>
      <w:r w:rsidRPr="00D71342">
        <w:rPr>
          <w:i/>
          <w:iCs/>
          <w:sz w:val="18"/>
          <w:szCs w:val="18"/>
        </w:rPr>
        <w:t xml:space="preserve"> (Journal of Marketing Studies), 32</w:t>
      </w:r>
      <w:r w:rsidRPr="00D71342">
        <w:rPr>
          <w:sz w:val="18"/>
          <w:szCs w:val="18"/>
        </w:rPr>
        <w:t>(4), 96-119. http://dx.doi.org/10.22736/jms.32.4.06</w:t>
      </w:r>
    </w:p>
    <w:p w14:paraId="5C0481C5" w14:textId="77777777" w:rsidR="00EA0DD4" w:rsidRPr="00D71342" w:rsidRDefault="00EA0DD4" w:rsidP="00201F71">
      <w:pPr>
        <w:ind w:left="709" w:right="725" w:hanging="708"/>
        <w:jc w:val="both"/>
        <w:rPr>
          <w:sz w:val="18"/>
          <w:szCs w:val="18"/>
        </w:rPr>
      </w:pPr>
      <w:r w:rsidRPr="00D71342">
        <w:rPr>
          <w:sz w:val="18"/>
          <w:szCs w:val="18"/>
        </w:rPr>
        <w:t>Jin, T., &amp; Chorda, I. M. (2025). The driving mechanisms behind green entrepreneurial orientation.</w:t>
      </w:r>
      <w:r w:rsidRPr="00D71342">
        <w:rPr>
          <w:i/>
          <w:iCs/>
          <w:sz w:val="18"/>
          <w:szCs w:val="18"/>
        </w:rPr>
        <w:t xml:space="preserve"> Business Strategy And The Environment, 34</w:t>
      </w:r>
      <w:r w:rsidRPr="00D71342">
        <w:rPr>
          <w:sz w:val="18"/>
          <w:szCs w:val="18"/>
        </w:rPr>
        <w:t>(7), 9379-9396. https://doi.org/10.1002/bse.70074</w:t>
      </w:r>
    </w:p>
    <w:p w14:paraId="33F35761" w14:textId="77777777" w:rsidR="00EA0DD4" w:rsidRPr="00D71342" w:rsidRDefault="00EA0DD4" w:rsidP="00201F71">
      <w:pPr>
        <w:ind w:left="709" w:right="725" w:hanging="708"/>
        <w:jc w:val="both"/>
        <w:rPr>
          <w:sz w:val="18"/>
          <w:szCs w:val="18"/>
        </w:rPr>
      </w:pPr>
      <w:r w:rsidRPr="00D71342">
        <w:rPr>
          <w:sz w:val="18"/>
          <w:szCs w:val="18"/>
        </w:rPr>
        <w:t>Kansiime, M., Aliamo, C., Christine, A., Harrison, R., Murungi, D., Kamulegeya, P., Ssenyonga, A., Sseryazi, A., Mayambala, G., Kiarie, L. W., Kadzamira, M. A. T. J., Akiri, M., &amp; Mulema, J. M. K. (2025). Pathways and business models for sustainable youth employment in agriculture: A review of research and practice in Africa.</w:t>
      </w:r>
      <w:r w:rsidRPr="00D71342">
        <w:rPr>
          <w:i/>
          <w:iCs/>
          <w:sz w:val="18"/>
          <w:szCs w:val="18"/>
        </w:rPr>
        <w:t> CABI Agriculture and Bioscience, 6</w:t>
      </w:r>
      <w:r w:rsidRPr="00D71342">
        <w:rPr>
          <w:sz w:val="18"/>
          <w:szCs w:val="18"/>
        </w:rPr>
        <w:t>(1). https://doi.org/10.1079/ab.2025.004</w:t>
      </w:r>
    </w:p>
    <w:p w14:paraId="196C04E6" w14:textId="77777777" w:rsidR="00EA0DD4" w:rsidRPr="00D71342" w:rsidRDefault="00EA0DD4" w:rsidP="00201F71">
      <w:pPr>
        <w:ind w:left="709" w:right="725" w:hanging="708"/>
        <w:jc w:val="both"/>
        <w:rPr>
          <w:sz w:val="18"/>
          <w:szCs w:val="18"/>
        </w:rPr>
      </w:pPr>
      <w:r w:rsidRPr="00D71342">
        <w:rPr>
          <w:sz w:val="18"/>
          <w:szCs w:val="18"/>
        </w:rPr>
        <w:t>Kozar, Ł. J., &amp; Sulich, A. (2023). Green Jobs: Bibliometric Review.</w:t>
      </w:r>
      <w:r w:rsidRPr="00D71342">
        <w:rPr>
          <w:i/>
          <w:iCs/>
          <w:sz w:val="18"/>
          <w:szCs w:val="18"/>
        </w:rPr>
        <w:t xml:space="preserve"> International Journal of Environmental Research and Public Health, 20</w:t>
      </w:r>
      <w:r w:rsidRPr="00D71342">
        <w:rPr>
          <w:sz w:val="18"/>
          <w:szCs w:val="18"/>
        </w:rPr>
        <w:t>(4), 2886. https://doi.org/10.3390/ijerph20042886</w:t>
      </w:r>
    </w:p>
    <w:p w14:paraId="6004AB2B" w14:textId="77777777" w:rsidR="00EA0DD4" w:rsidRPr="00D71342" w:rsidRDefault="00EA0DD4" w:rsidP="00201F71">
      <w:pPr>
        <w:ind w:left="709" w:right="725" w:hanging="708"/>
        <w:jc w:val="both"/>
        <w:rPr>
          <w:sz w:val="18"/>
          <w:szCs w:val="18"/>
        </w:rPr>
      </w:pPr>
      <w:r w:rsidRPr="00D71342">
        <w:rPr>
          <w:sz w:val="18"/>
          <w:szCs w:val="18"/>
        </w:rPr>
        <w:t>Kraus, S., Burtscher, J., Vallaster, C., &amp; Angerer, M. (2018). Sustainable Entrepreneurship Orientation: A Reflection on Status-Quo Research on Factors Facilitating Responsible Managerial Practices.</w:t>
      </w:r>
      <w:r w:rsidRPr="00D71342">
        <w:rPr>
          <w:i/>
          <w:iCs/>
          <w:sz w:val="18"/>
          <w:szCs w:val="18"/>
        </w:rPr>
        <w:t xml:space="preserve"> Sustainability, 10</w:t>
      </w:r>
      <w:r w:rsidRPr="00D71342">
        <w:rPr>
          <w:sz w:val="18"/>
          <w:szCs w:val="18"/>
        </w:rPr>
        <w:t>(2), 444. https://doi.org/10.3390/su10020444</w:t>
      </w:r>
    </w:p>
    <w:p w14:paraId="2E2772A1" w14:textId="77777777" w:rsidR="00EA0DD4" w:rsidRPr="00D71342" w:rsidRDefault="00EA0DD4" w:rsidP="00201F71">
      <w:pPr>
        <w:ind w:left="709" w:right="725" w:hanging="708"/>
        <w:jc w:val="both"/>
        <w:rPr>
          <w:sz w:val="18"/>
          <w:szCs w:val="18"/>
        </w:rPr>
      </w:pPr>
      <w:r w:rsidRPr="00D71342">
        <w:rPr>
          <w:sz w:val="18"/>
          <w:szCs w:val="18"/>
        </w:rPr>
        <w:t>Lemaire, S. L. L., Razgallah, M., Maalaoui, A., &amp; Kraus, S. (2022). Becoming a green entrepreneur: An advanced entrepreneurial cognition model based on a practiced-based approach.</w:t>
      </w:r>
      <w:r w:rsidRPr="00D71342">
        <w:rPr>
          <w:i/>
          <w:iCs/>
          <w:sz w:val="18"/>
          <w:szCs w:val="18"/>
        </w:rPr>
        <w:t xml:space="preserve"> International Entrepreneurship and Management Journal, 18</w:t>
      </w:r>
      <w:r w:rsidRPr="00D71342">
        <w:rPr>
          <w:sz w:val="18"/>
          <w:szCs w:val="18"/>
        </w:rPr>
        <w:t>(2), 801–828. https://doi.org/10.1007/s11365-021-00791-1</w:t>
      </w:r>
    </w:p>
    <w:p w14:paraId="3A655471" w14:textId="075D7E8F" w:rsidR="00EA0DD4" w:rsidRPr="00D71342" w:rsidRDefault="00EA0DD4" w:rsidP="00E507EC">
      <w:pPr>
        <w:ind w:left="709" w:right="725" w:hanging="708"/>
        <w:jc w:val="both"/>
        <w:rPr>
          <w:sz w:val="18"/>
          <w:szCs w:val="18"/>
        </w:rPr>
      </w:pPr>
      <w:r w:rsidRPr="00D71342">
        <w:rPr>
          <w:sz w:val="18"/>
          <w:szCs w:val="18"/>
        </w:rPr>
        <w:t>Maisaroh, Sawitri, H. S. R., Sunaryo, S., &amp; Hendarsjah, H. (2024). Multiple pathways linking commitment to th</w:t>
      </w:r>
      <w:r w:rsidR="00E507EC">
        <w:rPr>
          <w:sz w:val="18"/>
          <w:szCs w:val="18"/>
        </w:rPr>
        <w:t xml:space="preserve">e </w:t>
      </w:r>
      <w:r w:rsidRPr="00D71342">
        <w:rPr>
          <w:sz w:val="18"/>
          <w:szCs w:val="18"/>
        </w:rPr>
        <w:t>environment and green entrepreneurship behavior: the mediating and moderating analysis.</w:t>
      </w:r>
      <w:r w:rsidRPr="00D71342">
        <w:rPr>
          <w:i/>
          <w:iCs/>
          <w:sz w:val="18"/>
          <w:szCs w:val="18"/>
        </w:rPr>
        <w:t xml:space="preserve"> Cogent Business &amp; Management, 11</w:t>
      </w:r>
      <w:r w:rsidRPr="00D71342">
        <w:rPr>
          <w:sz w:val="18"/>
          <w:szCs w:val="18"/>
        </w:rPr>
        <w:t>(1). https://doi.org/10.1080/23311975.2024.2402516</w:t>
      </w:r>
    </w:p>
    <w:p w14:paraId="411166AB" w14:textId="77777777" w:rsidR="004B5548" w:rsidRDefault="00EA0DD4" w:rsidP="004B5548">
      <w:pPr>
        <w:ind w:left="709" w:right="725" w:hanging="708"/>
        <w:jc w:val="both"/>
        <w:rPr>
          <w:sz w:val="18"/>
          <w:szCs w:val="18"/>
        </w:rPr>
      </w:pPr>
      <w:r w:rsidRPr="00D71342">
        <w:rPr>
          <w:sz w:val="18"/>
          <w:szCs w:val="18"/>
        </w:rPr>
        <w:t>Makhloufi, L., Laghouag, A. A., Meirun, T., &amp; Belaid, F. (2021). Impact of green entrepreneurship orientation on environmental performance: The natural resource‐based view and environmental policy perspective.</w:t>
      </w:r>
      <w:r w:rsidRPr="00F82428">
        <w:rPr>
          <w:sz w:val="18"/>
          <w:szCs w:val="18"/>
        </w:rPr>
        <w:t xml:space="preserve"> Business</w:t>
      </w:r>
      <w:r w:rsidR="00F82428" w:rsidRPr="00F82428">
        <w:rPr>
          <w:sz w:val="18"/>
          <w:szCs w:val="18"/>
        </w:rPr>
        <w:t xml:space="preserve"> </w:t>
      </w:r>
      <w:r w:rsidRPr="00F82428">
        <w:rPr>
          <w:sz w:val="18"/>
          <w:szCs w:val="18"/>
        </w:rPr>
        <w:t>Strategy And The Environment, 31</w:t>
      </w:r>
      <w:r w:rsidRPr="00D71342">
        <w:rPr>
          <w:sz w:val="18"/>
          <w:szCs w:val="18"/>
        </w:rPr>
        <w:t>(1), 425-444.</w:t>
      </w:r>
    </w:p>
    <w:p w14:paraId="5C65579A" w14:textId="6B79F74E" w:rsidR="00EA0DD4" w:rsidRPr="00F82428" w:rsidRDefault="00EA0DD4" w:rsidP="004B5548">
      <w:pPr>
        <w:ind w:left="1134" w:right="725"/>
        <w:jc w:val="both"/>
        <w:rPr>
          <w:sz w:val="18"/>
          <w:szCs w:val="18"/>
        </w:rPr>
      </w:pPr>
      <w:r w:rsidRPr="00D71342">
        <w:rPr>
          <w:sz w:val="18"/>
          <w:szCs w:val="18"/>
        </w:rPr>
        <w:lastRenderedPageBreak/>
        <w:t>https://doi.org/10.1002/bse.2902</w:t>
      </w:r>
    </w:p>
    <w:p w14:paraId="36DEA602" w14:textId="77777777" w:rsidR="00EA0DD4" w:rsidRPr="00D71342" w:rsidRDefault="00EA0DD4" w:rsidP="00F82428">
      <w:pPr>
        <w:ind w:left="1134" w:right="442" w:hanging="708"/>
        <w:jc w:val="both"/>
        <w:rPr>
          <w:sz w:val="18"/>
          <w:szCs w:val="18"/>
        </w:rPr>
      </w:pPr>
      <w:r w:rsidRPr="00D71342">
        <w:rPr>
          <w:sz w:val="18"/>
          <w:szCs w:val="18"/>
        </w:rPr>
        <w:t>Mehraj, D., Islam, M. I. U., Qureshi, I. H., Basheer, S., Baba, M. M., Nissa, V. U., &amp; Shah, M. A. (2023). Factors affecting entrepreneurial intention for sustainable tourism among the students of higher education institutions.</w:t>
      </w:r>
      <w:r w:rsidRPr="00D71342">
        <w:rPr>
          <w:i/>
          <w:iCs/>
          <w:sz w:val="18"/>
          <w:szCs w:val="18"/>
        </w:rPr>
        <w:t xml:space="preserve"> Cogent Business &amp; Management, 10</w:t>
      </w:r>
      <w:r w:rsidRPr="00D71342">
        <w:rPr>
          <w:sz w:val="18"/>
          <w:szCs w:val="18"/>
        </w:rPr>
        <w:t>(3). https://doi.org/10.1080/23311975.2023.2256484</w:t>
      </w:r>
    </w:p>
    <w:p w14:paraId="16936642" w14:textId="77777777" w:rsidR="00EA0DD4" w:rsidRPr="00D71342" w:rsidRDefault="00EA0DD4" w:rsidP="00F82428">
      <w:pPr>
        <w:ind w:left="1134" w:right="442" w:hanging="708"/>
        <w:jc w:val="both"/>
        <w:rPr>
          <w:sz w:val="18"/>
          <w:szCs w:val="18"/>
        </w:rPr>
      </w:pPr>
      <w:r w:rsidRPr="00D71342">
        <w:rPr>
          <w:sz w:val="18"/>
          <w:szCs w:val="18"/>
        </w:rPr>
        <w:t xml:space="preserve">Misztal, A., &amp; Kowalska, M. (2023). Factors of green entrepreneurship in selected emerging markets in the European Union. </w:t>
      </w:r>
      <w:r w:rsidRPr="00D71342">
        <w:rPr>
          <w:i/>
          <w:iCs/>
          <w:sz w:val="18"/>
          <w:szCs w:val="18"/>
        </w:rPr>
        <w:t>Environment Development And Sustainability, 26</w:t>
      </w:r>
      <w:r w:rsidRPr="00D71342">
        <w:rPr>
          <w:sz w:val="18"/>
          <w:szCs w:val="18"/>
        </w:rPr>
        <w:t>(11), 28269-28292. https://doi.org/10.1007/s10668-023-03811-y</w:t>
      </w:r>
    </w:p>
    <w:p w14:paraId="2FC6A90D" w14:textId="77777777" w:rsidR="00EA0DD4" w:rsidRPr="00D71342" w:rsidRDefault="00EA0DD4" w:rsidP="00F82428">
      <w:pPr>
        <w:ind w:left="1134" w:right="442" w:hanging="708"/>
        <w:jc w:val="both"/>
        <w:rPr>
          <w:sz w:val="18"/>
          <w:szCs w:val="18"/>
        </w:rPr>
      </w:pPr>
      <w:r w:rsidRPr="00D71342">
        <w:rPr>
          <w:sz w:val="18"/>
          <w:szCs w:val="18"/>
        </w:rPr>
        <w:t>Nassani, A. A., Isac, N., Rosak-Szyrocka, J., Yousaf, Z., &amp; Haffar, M. (2023). Institutional Pressures and Circular Economy Target Performance: Are Zero Waste Practices and Enviropreneurship Worth Pursuing</w:t>
      </w:r>
      <w:r w:rsidRPr="00D71342">
        <w:rPr>
          <w:i/>
          <w:iCs/>
          <w:sz w:val="18"/>
          <w:szCs w:val="18"/>
        </w:rPr>
        <w:t>? Sustainability, 15</w:t>
      </w:r>
      <w:r w:rsidRPr="00D71342">
        <w:rPr>
          <w:sz w:val="18"/>
          <w:szCs w:val="18"/>
        </w:rPr>
        <w:t>(4), 2952. https://doi.org/10.3390/su15042952</w:t>
      </w:r>
    </w:p>
    <w:p w14:paraId="73501E9A" w14:textId="77777777" w:rsidR="00EA0DD4" w:rsidRPr="00D71342" w:rsidRDefault="00EA0DD4" w:rsidP="00F82428">
      <w:pPr>
        <w:ind w:left="1134" w:right="442" w:hanging="708"/>
        <w:jc w:val="both"/>
        <w:rPr>
          <w:sz w:val="18"/>
          <w:szCs w:val="18"/>
        </w:rPr>
      </w:pPr>
      <w:r w:rsidRPr="00D71342">
        <w:rPr>
          <w:sz w:val="18"/>
          <w:szCs w:val="18"/>
        </w:rPr>
        <w:t xml:space="preserve">Neumann, T. (2022). Impact of green entrepreneurship on sustainable development: An ex-post empirical analysis. </w:t>
      </w:r>
      <w:r w:rsidRPr="00D71342">
        <w:rPr>
          <w:i/>
          <w:iCs/>
          <w:sz w:val="18"/>
          <w:szCs w:val="18"/>
        </w:rPr>
        <w:t>Journal Of Cleaner Production, 377</w:t>
      </w:r>
      <w:r w:rsidRPr="00D71342">
        <w:rPr>
          <w:sz w:val="18"/>
          <w:szCs w:val="18"/>
        </w:rPr>
        <w:t>, 134317. https://doi.org/10.1016/j.jclepro.2022.134317</w:t>
      </w:r>
    </w:p>
    <w:p w14:paraId="63B2F3B4" w14:textId="77777777" w:rsidR="00EA0DD4" w:rsidRPr="00D71342" w:rsidRDefault="00EA0DD4" w:rsidP="00F82428">
      <w:pPr>
        <w:ind w:left="1134" w:right="442" w:hanging="708"/>
        <w:jc w:val="both"/>
        <w:rPr>
          <w:sz w:val="18"/>
          <w:szCs w:val="18"/>
        </w:rPr>
      </w:pPr>
      <w:r w:rsidRPr="00D71342">
        <w:rPr>
          <w:sz w:val="18"/>
          <w:szCs w:val="18"/>
        </w:rPr>
        <w:t>Niemczyk, A., Gródek-Szostak, Z., Adler, D., Niewiadomski, M., &amp; Benková, E. (2023). Green Entrepreneurship: Knowledge and Perception of Students and Professionals from Poland and Slovakia.</w:t>
      </w:r>
      <w:r w:rsidRPr="00D71342">
        <w:rPr>
          <w:i/>
          <w:iCs/>
          <w:sz w:val="18"/>
          <w:szCs w:val="18"/>
        </w:rPr>
        <w:t xml:space="preserve"> Sustainability, 16</w:t>
      </w:r>
      <w:r w:rsidRPr="00D71342">
        <w:rPr>
          <w:sz w:val="18"/>
          <w:szCs w:val="18"/>
        </w:rPr>
        <w:t>(1), 273. https://doi.org/10.3390/su16010273</w:t>
      </w:r>
    </w:p>
    <w:p w14:paraId="633C20AC" w14:textId="77777777" w:rsidR="00EA0DD4" w:rsidRPr="00D71342" w:rsidRDefault="00EA0DD4" w:rsidP="00F82428">
      <w:pPr>
        <w:ind w:left="1134" w:right="442" w:hanging="708"/>
        <w:jc w:val="both"/>
        <w:rPr>
          <w:sz w:val="18"/>
          <w:szCs w:val="18"/>
        </w:rPr>
      </w:pPr>
      <w:r w:rsidRPr="00D71342">
        <w:rPr>
          <w:sz w:val="18"/>
          <w:szCs w:val="18"/>
        </w:rPr>
        <w:t>Pertuz, V., Miranda, L. F., &amp; Buitrago, J. o. S. (2021). Hacia una comprensión conceptual del emprendimiento verde.</w:t>
      </w:r>
      <w:r w:rsidRPr="00D71342">
        <w:rPr>
          <w:i/>
          <w:iCs/>
          <w:sz w:val="18"/>
          <w:szCs w:val="18"/>
        </w:rPr>
        <w:t xml:space="preserve"> Revista Venezolana de Gerencia, 26</w:t>
      </w:r>
      <w:r w:rsidRPr="00D71342">
        <w:rPr>
          <w:sz w:val="18"/>
          <w:szCs w:val="18"/>
        </w:rPr>
        <w:t>(94), 745-761. https://doi.org/10.52080/rvgv26n94.23</w:t>
      </w:r>
    </w:p>
    <w:p w14:paraId="14BE4FFD" w14:textId="77777777" w:rsidR="00EA0DD4" w:rsidRPr="00D71342" w:rsidRDefault="00EA0DD4" w:rsidP="00F82428">
      <w:pPr>
        <w:ind w:left="1134" w:right="442" w:hanging="708"/>
        <w:jc w:val="both"/>
        <w:rPr>
          <w:sz w:val="18"/>
          <w:szCs w:val="18"/>
        </w:rPr>
      </w:pPr>
      <w:r w:rsidRPr="00D71342">
        <w:rPr>
          <w:sz w:val="18"/>
          <w:szCs w:val="18"/>
        </w:rPr>
        <w:t xml:space="preserve">Pimentel, P. M. M., &amp; Sousa, M. J. (2022). </w:t>
      </w:r>
      <w:r w:rsidRPr="00D71342">
        <w:rPr>
          <w:i/>
          <w:iCs/>
          <w:sz w:val="18"/>
          <w:szCs w:val="18"/>
        </w:rPr>
        <w:t xml:space="preserve">Born Green: </w:t>
      </w:r>
      <w:r w:rsidRPr="00D71342">
        <w:rPr>
          <w:sz w:val="18"/>
          <w:szCs w:val="18"/>
        </w:rPr>
        <w:t>Drivers and Competencies of Green Entrepreneurship.</w:t>
      </w:r>
      <w:r w:rsidRPr="00D71342">
        <w:rPr>
          <w:i/>
          <w:iCs/>
          <w:sz w:val="18"/>
          <w:szCs w:val="18"/>
        </w:rPr>
        <w:t xml:space="preserve"> European Conference on Innovation and Entrepreneurship, 17</w:t>
      </w:r>
      <w:r w:rsidRPr="00D71342">
        <w:rPr>
          <w:sz w:val="18"/>
          <w:szCs w:val="18"/>
        </w:rPr>
        <w:t>(1), 673–682. https://doi.org/10.34190/ecie.17.1.738</w:t>
      </w:r>
    </w:p>
    <w:p w14:paraId="640F46CB" w14:textId="77777777" w:rsidR="00EA0DD4" w:rsidRPr="00D71342" w:rsidRDefault="00EA0DD4" w:rsidP="00F82428">
      <w:pPr>
        <w:ind w:left="1134" w:right="442" w:hanging="708"/>
        <w:jc w:val="both"/>
        <w:rPr>
          <w:sz w:val="18"/>
          <w:szCs w:val="18"/>
        </w:rPr>
      </w:pPr>
      <w:r w:rsidRPr="00D71342">
        <w:rPr>
          <w:sz w:val="18"/>
          <w:szCs w:val="18"/>
        </w:rPr>
        <w:t xml:space="preserve">Potluri, S., Ananthram, S., &amp; Phani, B. V. (2024). Women green entrepreneurship: Conceptualisation and use of bricolage for policy recommendations. </w:t>
      </w:r>
      <w:r w:rsidRPr="00D71342">
        <w:rPr>
          <w:i/>
          <w:iCs/>
          <w:sz w:val="18"/>
          <w:szCs w:val="18"/>
        </w:rPr>
        <w:t>Business Strategy And The Environment, 33</w:t>
      </w:r>
      <w:r w:rsidRPr="00D71342">
        <w:rPr>
          <w:sz w:val="18"/>
          <w:szCs w:val="18"/>
        </w:rPr>
        <w:t>(6), 5485-5502. https://doi.org/10.1002/bse.3764</w:t>
      </w:r>
    </w:p>
    <w:p w14:paraId="391BC831" w14:textId="77777777" w:rsidR="00EA0DD4" w:rsidRPr="00D71342" w:rsidRDefault="00EA0DD4" w:rsidP="00F82428">
      <w:pPr>
        <w:ind w:left="1134" w:right="442" w:hanging="708"/>
        <w:jc w:val="both"/>
        <w:rPr>
          <w:sz w:val="18"/>
          <w:szCs w:val="18"/>
        </w:rPr>
      </w:pPr>
      <w:r w:rsidRPr="00D71342">
        <w:rPr>
          <w:sz w:val="18"/>
          <w:szCs w:val="18"/>
        </w:rPr>
        <w:t>Prasetyo, P. E., Azwardi, &amp; Kistanti, N. R. (2023). The Potential of Informal Institutions in Promoting Green Enterpreneurship (Ge) and Sustainable Socio-Economic Development.</w:t>
      </w:r>
      <w:r w:rsidRPr="00D71342">
        <w:rPr>
          <w:i/>
          <w:iCs/>
          <w:sz w:val="18"/>
          <w:szCs w:val="18"/>
        </w:rPr>
        <w:t xml:space="preserve"> Economics, 11</w:t>
      </w:r>
      <w:r w:rsidRPr="00D71342">
        <w:rPr>
          <w:sz w:val="18"/>
          <w:szCs w:val="18"/>
        </w:rPr>
        <w:t>(s1), 1-20. https://doi.org/10.2478/eoik-2023-0061</w:t>
      </w:r>
    </w:p>
    <w:p w14:paraId="4991F394" w14:textId="77777777" w:rsidR="00201F71" w:rsidRDefault="00EA0DD4" w:rsidP="00F82428">
      <w:pPr>
        <w:ind w:left="1134" w:right="442" w:hanging="708"/>
        <w:jc w:val="both"/>
        <w:rPr>
          <w:sz w:val="18"/>
          <w:szCs w:val="18"/>
        </w:rPr>
      </w:pPr>
      <w:r w:rsidRPr="00D71342">
        <w:rPr>
          <w:sz w:val="18"/>
          <w:szCs w:val="18"/>
        </w:rPr>
        <w:t>Radulescu, M., Stanila, G. O., Brutu, M., Secara, C. G., &amp; Tolea, V. C. S. (2025). Green Human Resource</w:t>
      </w:r>
      <w:r w:rsidR="00201F71">
        <w:rPr>
          <w:sz w:val="18"/>
          <w:szCs w:val="18"/>
        </w:rPr>
        <w:t xml:space="preserve"> </w:t>
      </w:r>
    </w:p>
    <w:p w14:paraId="319BD522" w14:textId="77777777" w:rsidR="00F82428" w:rsidRDefault="00EA0DD4" w:rsidP="00F82428">
      <w:pPr>
        <w:ind w:left="1134" w:right="442" w:hanging="708"/>
        <w:jc w:val="both"/>
        <w:rPr>
          <w:sz w:val="18"/>
          <w:szCs w:val="18"/>
        </w:rPr>
      </w:pPr>
      <w:r w:rsidRPr="00D71342">
        <w:rPr>
          <w:sz w:val="18"/>
          <w:szCs w:val="18"/>
        </w:rPr>
        <w:t>Management-Driver of Green Innovation and Sustainable Environmental Performance.</w:t>
      </w:r>
      <w:r w:rsidRPr="00D71342">
        <w:rPr>
          <w:i/>
          <w:iCs/>
          <w:sz w:val="18"/>
          <w:szCs w:val="18"/>
        </w:rPr>
        <w:t> Journal of East European Management Studies 2025, 30</w:t>
      </w:r>
      <w:r w:rsidRPr="00D71342">
        <w:rPr>
          <w:sz w:val="18"/>
          <w:szCs w:val="18"/>
        </w:rPr>
        <w:t>(4). https://doi.org/10.31083/JEEMS44057</w:t>
      </w:r>
    </w:p>
    <w:p w14:paraId="00B80B95" w14:textId="5FD7C4E7" w:rsidR="00EA0DD4" w:rsidRPr="00D71342" w:rsidRDefault="00EA0DD4" w:rsidP="00E507EC">
      <w:pPr>
        <w:ind w:left="1134" w:right="442" w:hanging="708"/>
        <w:jc w:val="both"/>
        <w:rPr>
          <w:sz w:val="18"/>
          <w:szCs w:val="18"/>
        </w:rPr>
      </w:pPr>
      <w:r w:rsidRPr="00D71342">
        <w:rPr>
          <w:sz w:val="18"/>
          <w:szCs w:val="18"/>
        </w:rPr>
        <w:t xml:space="preserve">Rahayu, N. S. (2024). </w:t>
      </w:r>
      <w:r w:rsidRPr="00F82428">
        <w:rPr>
          <w:sz w:val="18"/>
          <w:szCs w:val="18"/>
        </w:rPr>
        <w:t>Assessing the determinant factors</w:t>
      </w:r>
      <w:r w:rsidR="00F82428">
        <w:rPr>
          <w:sz w:val="18"/>
          <w:szCs w:val="18"/>
        </w:rPr>
        <w:t xml:space="preserve"> </w:t>
      </w:r>
      <w:r w:rsidRPr="00F82428">
        <w:rPr>
          <w:sz w:val="18"/>
          <w:szCs w:val="18"/>
        </w:rPr>
        <w:t>affecting green entrepreneurial intention among female</w:t>
      </w:r>
      <w:r w:rsidRPr="00D71342">
        <w:rPr>
          <w:i/>
          <w:iCs/>
          <w:sz w:val="18"/>
          <w:szCs w:val="18"/>
        </w:rPr>
        <w:t xml:space="preserve"> entrepreneurs in Indonesia. Cogent Business &amp; Management, 11</w:t>
      </w:r>
      <w:r w:rsidRPr="00D71342">
        <w:rPr>
          <w:sz w:val="18"/>
          <w:szCs w:val="18"/>
        </w:rPr>
        <w:t>(1). https://doi.org/10.1080/23311975.2024.2378919</w:t>
      </w:r>
    </w:p>
    <w:p w14:paraId="2FA1154B" w14:textId="606BE66C" w:rsidR="00EA0DD4" w:rsidRPr="00D71342" w:rsidRDefault="00EA0DD4" w:rsidP="004B5548">
      <w:pPr>
        <w:ind w:left="1134" w:right="442" w:hanging="708"/>
        <w:jc w:val="both"/>
        <w:rPr>
          <w:sz w:val="18"/>
          <w:szCs w:val="18"/>
        </w:rPr>
      </w:pPr>
      <w:r w:rsidRPr="00D71342">
        <w:rPr>
          <w:sz w:val="18"/>
          <w:szCs w:val="18"/>
        </w:rPr>
        <w:t>Rahmawati, R., Suprapti, A. R., Pinta, S. R. H., &amp; Sudira, P. (2021). Green Entrepreneurship: A study for</w:t>
      </w:r>
      <w:r w:rsidR="004B5548">
        <w:rPr>
          <w:sz w:val="18"/>
          <w:szCs w:val="18"/>
        </w:rPr>
        <w:t xml:space="preserve"> </w:t>
      </w:r>
      <w:r w:rsidRPr="00D71342">
        <w:rPr>
          <w:sz w:val="18"/>
          <w:szCs w:val="18"/>
        </w:rPr>
        <w:t xml:space="preserve">developing Eco-Tourism in Indonesia. </w:t>
      </w:r>
      <w:r w:rsidRPr="00F82428">
        <w:rPr>
          <w:sz w:val="18"/>
          <w:szCs w:val="18"/>
        </w:rPr>
        <w:t>Journal Of Asian Finance Economics And Business, 8</w:t>
      </w:r>
      <w:r w:rsidRPr="00D71342">
        <w:rPr>
          <w:sz w:val="18"/>
          <w:szCs w:val="18"/>
        </w:rPr>
        <w:t>(5), 143-150. https://doi.org/10.13106/jafeb.2021.vol8.no5.0143</w:t>
      </w:r>
    </w:p>
    <w:p w14:paraId="5DFAF5F1" w14:textId="77777777" w:rsidR="004B5548" w:rsidRDefault="00EA0DD4" w:rsidP="004B5548">
      <w:pPr>
        <w:ind w:left="1134" w:right="725" w:hanging="708"/>
        <w:jc w:val="both"/>
        <w:rPr>
          <w:sz w:val="18"/>
          <w:szCs w:val="18"/>
        </w:rPr>
      </w:pPr>
      <w:r w:rsidRPr="00D71342">
        <w:rPr>
          <w:sz w:val="18"/>
          <w:szCs w:val="18"/>
        </w:rPr>
        <w:t>Rahmawati, R., Handayani, S. R., Suprapti, A. R., Airawaty,</w:t>
      </w:r>
    </w:p>
    <w:p w14:paraId="51BAA0A2" w14:textId="27BECE3E" w:rsidR="00EA0DD4" w:rsidRPr="00D71342" w:rsidRDefault="00EA0DD4" w:rsidP="004B5548">
      <w:pPr>
        <w:ind w:left="709" w:right="725"/>
        <w:jc w:val="both"/>
        <w:rPr>
          <w:sz w:val="18"/>
          <w:szCs w:val="18"/>
        </w:rPr>
      </w:pPr>
      <w:r w:rsidRPr="00D71342">
        <w:rPr>
          <w:sz w:val="18"/>
          <w:szCs w:val="18"/>
        </w:rPr>
        <w:t>D., &amp; Latifah, L. (2023). Green Entrepreneurship Based On</w:t>
      </w:r>
      <w:r w:rsidR="00F82428">
        <w:rPr>
          <w:sz w:val="18"/>
          <w:szCs w:val="18"/>
        </w:rPr>
        <w:t xml:space="preserve"> </w:t>
      </w:r>
      <w:r w:rsidRPr="00D71342">
        <w:rPr>
          <w:sz w:val="18"/>
          <w:szCs w:val="18"/>
        </w:rPr>
        <w:t>Local Characteristics and Culture To Support Sustainable Eco-Tourism: A Case Study.</w:t>
      </w:r>
      <w:r w:rsidRPr="00F82428">
        <w:rPr>
          <w:sz w:val="18"/>
          <w:szCs w:val="18"/>
        </w:rPr>
        <w:t xml:space="preserve"> Journal Of Intercultural</w:t>
      </w:r>
      <w:r w:rsidRPr="00D71342">
        <w:rPr>
          <w:sz w:val="18"/>
          <w:szCs w:val="18"/>
        </w:rPr>
        <w:t xml:space="preserve"> </w:t>
      </w:r>
      <w:r w:rsidRPr="00F82428">
        <w:rPr>
          <w:sz w:val="18"/>
          <w:szCs w:val="18"/>
        </w:rPr>
        <w:t>Communication</w:t>
      </w:r>
      <w:r w:rsidRPr="00D71342">
        <w:rPr>
          <w:sz w:val="18"/>
          <w:szCs w:val="18"/>
        </w:rPr>
        <w:t>, 66-75. https://doi.org/10.36923/jicc.v23i1.71</w:t>
      </w:r>
    </w:p>
    <w:p w14:paraId="7FB149A4" w14:textId="77777777" w:rsidR="00EA0DD4" w:rsidRPr="00D71342" w:rsidRDefault="00EA0DD4" w:rsidP="00201F71">
      <w:pPr>
        <w:ind w:left="709" w:right="725" w:hanging="708"/>
        <w:jc w:val="both"/>
        <w:rPr>
          <w:sz w:val="18"/>
          <w:szCs w:val="18"/>
        </w:rPr>
      </w:pPr>
      <w:r w:rsidRPr="00D71342">
        <w:rPr>
          <w:sz w:val="18"/>
          <w:szCs w:val="18"/>
        </w:rPr>
        <w:t>Raimi, L., Abdur-Rauf, I. A., &amp; Ashafa, S. A. (2024). Does Islamic Sustainable Finance Support Sustainable Development Goals to Avert Financial Risk in the Management of Islamic Finance Products? A Critical Literature Review.</w:t>
      </w:r>
      <w:r w:rsidRPr="00D71342">
        <w:rPr>
          <w:i/>
          <w:iCs/>
          <w:sz w:val="18"/>
          <w:szCs w:val="18"/>
        </w:rPr>
        <w:t> Journal of Risk and Financial Management, 17</w:t>
      </w:r>
      <w:r w:rsidRPr="00D71342">
        <w:rPr>
          <w:sz w:val="18"/>
          <w:szCs w:val="18"/>
        </w:rPr>
        <w:t>(6), 236. https://doi.org/10.3390/jrfm17060236</w:t>
      </w:r>
    </w:p>
    <w:p w14:paraId="4F63188E" w14:textId="77777777" w:rsidR="00EA0DD4" w:rsidRPr="00D71342" w:rsidRDefault="00EA0DD4" w:rsidP="00201F71">
      <w:pPr>
        <w:ind w:left="709" w:right="725" w:hanging="708"/>
        <w:jc w:val="both"/>
        <w:rPr>
          <w:sz w:val="18"/>
          <w:szCs w:val="18"/>
        </w:rPr>
      </w:pPr>
      <w:r w:rsidRPr="00D71342">
        <w:rPr>
          <w:sz w:val="18"/>
          <w:szCs w:val="18"/>
        </w:rPr>
        <w:t>Rajkamal, S. V., Velmurugan, J. S., &amp; Suryakumar, M. (2022). Green entrepreneurs challenges and innovation: the struggles they face.</w:t>
      </w:r>
      <w:r w:rsidRPr="00D71342">
        <w:rPr>
          <w:i/>
          <w:iCs/>
          <w:sz w:val="18"/>
          <w:szCs w:val="18"/>
        </w:rPr>
        <w:t xml:space="preserve"> International Journal of Professional Business Review: Int. J. Prof. Bus. Rev., 7</w:t>
      </w:r>
      <w:r w:rsidRPr="00D71342">
        <w:rPr>
          <w:sz w:val="18"/>
          <w:szCs w:val="18"/>
        </w:rPr>
        <w:t>(2), 7. https://doi.org/10.26668/businessreview/2022.v7i2.0482</w:t>
      </w:r>
    </w:p>
    <w:p w14:paraId="27B1E2B8" w14:textId="77777777" w:rsidR="00EA0DD4" w:rsidRPr="00D71342" w:rsidRDefault="00EA0DD4" w:rsidP="00201F71">
      <w:pPr>
        <w:ind w:left="709" w:right="725" w:hanging="708"/>
        <w:jc w:val="both"/>
        <w:rPr>
          <w:sz w:val="18"/>
          <w:szCs w:val="18"/>
        </w:rPr>
      </w:pPr>
      <w:r w:rsidRPr="00D71342">
        <w:rPr>
          <w:sz w:val="18"/>
          <w:szCs w:val="18"/>
        </w:rPr>
        <w:t>Rani, T.S., Srikanth, V., Vasudha, K., V, D., &amp; Basha, M.S. (2024). Green Pioneers in the Maze of Sustainability: Machine Learning Insights into the Drivers of Eco-Entrepreneurship. </w:t>
      </w:r>
      <w:r w:rsidRPr="00D71342">
        <w:rPr>
          <w:i/>
          <w:iCs/>
          <w:sz w:val="18"/>
          <w:szCs w:val="18"/>
        </w:rPr>
        <w:t>2024 International Conference on Distributed Computing and Optimization Techniques (ICDCOT)</w:t>
      </w:r>
      <w:r w:rsidRPr="00D71342">
        <w:rPr>
          <w:sz w:val="18"/>
          <w:szCs w:val="18"/>
        </w:rPr>
        <w:t>, 1-8. https://doi.org/10.1109/ICDCOT61034.2024.10515680</w:t>
      </w:r>
    </w:p>
    <w:p w14:paraId="6E536C3B" w14:textId="77777777" w:rsidR="00EA0DD4" w:rsidRPr="00D71342" w:rsidRDefault="00EA0DD4" w:rsidP="00201F71">
      <w:pPr>
        <w:ind w:left="709" w:right="725" w:hanging="708"/>
        <w:jc w:val="both"/>
        <w:rPr>
          <w:sz w:val="18"/>
          <w:szCs w:val="18"/>
        </w:rPr>
      </w:pPr>
      <w:r w:rsidRPr="00D71342">
        <w:rPr>
          <w:sz w:val="18"/>
          <w:szCs w:val="18"/>
        </w:rPr>
        <w:t>Rasheed, R., Rashid, A., Amirah, N. A., &amp; Hashmi, R. (2024). Integrating environmental and entrepreneurship advocacy into enviropreneurship through green supply chain management, waste management, and green innovation: A study on SMEs of US.</w:t>
      </w:r>
      <w:r w:rsidRPr="00D71342">
        <w:rPr>
          <w:i/>
          <w:iCs/>
          <w:sz w:val="18"/>
          <w:szCs w:val="18"/>
        </w:rPr>
        <w:t xml:space="preserve"> Cleaner Engineering And Technology, 21</w:t>
      </w:r>
      <w:r w:rsidRPr="00D71342">
        <w:rPr>
          <w:sz w:val="18"/>
          <w:szCs w:val="18"/>
        </w:rPr>
        <w:t>, 100768. https://doi.org/10.1016/j.clet.2024.100768</w:t>
      </w:r>
    </w:p>
    <w:p w14:paraId="116C06E7" w14:textId="77777777" w:rsidR="00EA0DD4" w:rsidRPr="00D71342" w:rsidRDefault="00EA0DD4" w:rsidP="00201F71">
      <w:pPr>
        <w:ind w:left="709" w:right="725" w:hanging="708"/>
        <w:jc w:val="both"/>
        <w:rPr>
          <w:sz w:val="18"/>
          <w:szCs w:val="18"/>
        </w:rPr>
      </w:pPr>
      <w:r w:rsidRPr="00D71342">
        <w:rPr>
          <w:sz w:val="18"/>
          <w:szCs w:val="18"/>
        </w:rPr>
        <w:t>Reza-Gharehbagh, R., Arisian, S., Hafezalkotob, A., &amp; Makui, A. (2022). Sustainable supply chain finance through digital platforms: a pathway to green entrepreneurship.</w:t>
      </w:r>
      <w:r w:rsidRPr="00D71342">
        <w:rPr>
          <w:i/>
          <w:iCs/>
          <w:sz w:val="18"/>
          <w:szCs w:val="18"/>
        </w:rPr>
        <w:t xml:space="preserve"> Annals Of Operations Research, 331</w:t>
      </w:r>
      <w:r w:rsidRPr="00D71342">
        <w:rPr>
          <w:sz w:val="18"/>
          <w:szCs w:val="18"/>
        </w:rPr>
        <w:t>(1), 285-319. https://doi.org/10.1007/s10479-022-04623-5</w:t>
      </w:r>
    </w:p>
    <w:p w14:paraId="78517BF2" w14:textId="77777777" w:rsidR="00EA0DD4" w:rsidRPr="00D71342" w:rsidRDefault="00EA0DD4" w:rsidP="00201F71">
      <w:pPr>
        <w:ind w:left="709" w:right="725" w:hanging="708"/>
        <w:jc w:val="both"/>
        <w:rPr>
          <w:sz w:val="18"/>
          <w:szCs w:val="18"/>
        </w:rPr>
      </w:pPr>
      <w:r w:rsidRPr="00D71342">
        <w:rPr>
          <w:sz w:val="18"/>
          <w:szCs w:val="18"/>
        </w:rPr>
        <w:t xml:space="preserve">Sarvari, R., Jabarzadeh, Y., Karami, A., &amp; Jabarnejad, M. (2023). An interpretive structural modeling—analytic network process approach for analysing green entrepreneurship barriers. </w:t>
      </w:r>
      <w:r w:rsidRPr="00D71342">
        <w:rPr>
          <w:i/>
          <w:iCs/>
          <w:sz w:val="18"/>
          <w:szCs w:val="18"/>
        </w:rPr>
        <w:t>International Entrepreneurship and Management Journal, 20</w:t>
      </w:r>
      <w:r w:rsidRPr="00D71342">
        <w:rPr>
          <w:sz w:val="18"/>
          <w:szCs w:val="18"/>
        </w:rPr>
        <w:t>(1), 367–391. https://doi.org/10.1007/s11365-023-00881-2</w:t>
      </w:r>
    </w:p>
    <w:p w14:paraId="690CDD4F" w14:textId="77777777" w:rsidR="00EA0DD4" w:rsidRPr="00D71342" w:rsidRDefault="00EA0DD4" w:rsidP="00201F71">
      <w:pPr>
        <w:ind w:left="709" w:right="725" w:hanging="708"/>
        <w:jc w:val="both"/>
        <w:rPr>
          <w:sz w:val="18"/>
          <w:szCs w:val="18"/>
        </w:rPr>
      </w:pPr>
      <w:r w:rsidRPr="00D71342">
        <w:rPr>
          <w:sz w:val="18"/>
          <w:szCs w:val="18"/>
        </w:rPr>
        <w:t>Satar, M. S., Alenazy, A., Alarifi, G., Alharthi, S., &amp; Omeish, F. (2024). Digital capabilities and green entrepreneurship in SMEs: the role of strategic agility.</w:t>
      </w:r>
      <w:r w:rsidRPr="00D71342">
        <w:rPr>
          <w:i/>
          <w:iCs/>
          <w:sz w:val="18"/>
          <w:szCs w:val="18"/>
        </w:rPr>
        <w:t xml:space="preserve"> Innovation And Development, 15</w:t>
      </w:r>
      <w:r w:rsidRPr="00D71342">
        <w:rPr>
          <w:sz w:val="18"/>
          <w:szCs w:val="18"/>
        </w:rPr>
        <w:t>(3), 709-738. https://doi.org/10.1080/2157930x.2024.2401235</w:t>
      </w:r>
    </w:p>
    <w:p w14:paraId="2D931D35" w14:textId="77777777" w:rsidR="00EA0DD4" w:rsidRPr="00D71342" w:rsidRDefault="00EA0DD4" w:rsidP="00201F71">
      <w:pPr>
        <w:ind w:left="709" w:right="725" w:hanging="708"/>
        <w:jc w:val="both"/>
        <w:rPr>
          <w:sz w:val="18"/>
          <w:szCs w:val="18"/>
        </w:rPr>
      </w:pPr>
      <w:r w:rsidRPr="00D71342">
        <w:rPr>
          <w:sz w:val="18"/>
          <w:szCs w:val="18"/>
        </w:rPr>
        <w:t xml:space="preserve">Singh, H., Kumar, P., &amp; Dana, L. P. (2025). The green entrepreneurship landscape: drivers, outcomes, and future directions. </w:t>
      </w:r>
      <w:r w:rsidRPr="00D71342">
        <w:rPr>
          <w:i/>
          <w:iCs/>
          <w:sz w:val="18"/>
          <w:szCs w:val="18"/>
        </w:rPr>
        <w:t>International Entrepreneurship And Management Journal, 21</w:t>
      </w:r>
      <w:r w:rsidRPr="00D71342">
        <w:rPr>
          <w:sz w:val="18"/>
          <w:szCs w:val="18"/>
        </w:rPr>
        <w:t>(1). https://doi.org/10.1007/s11365-025-01079-4</w:t>
      </w:r>
    </w:p>
    <w:p w14:paraId="52591E25" w14:textId="77777777" w:rsidR="00F82428" w:rsidRDefault="00EA0DD4" w:rsidP="00201F71">
      <w:pPr>
        <w:ind w:left="709" w:right="725" w:hanging="708"/>
        <w:jc w:val="both"/>
        <w:rPr>
          <w:i/>
          <w:iCs/>
          <w:sz w:val="18"/>
          <w:szCs w:val="18"/>
        </w:rPr>
      </w:pPr>
      <w:r w:rsidRPr="00D71342">
        <w:rPr>
          <w:sz w:val="18"/>
          <w:szCs w:val="18"/>
        </w:rPr>
        <w:t xml:space="preserve">Sklavos, G., Duquenne, M., &amp; Theodossiou, G. (2022). Green Entrepreneurship and Digital Transformation of SMEs in Food Industry: Α Bibliometric Analysis. </w:t>
      </w:r>
      <w:r w:rsidRPr="00D71342">
        <w:rPr>
          <w:i/>
          <w:iCs/>
          <w:sz w:val="18"/>
          <w:szCs w:val="18"/>
        </w:rPr>
        <w:t xml:space="preserve">Scientific </w:t>
      </w:r>
    </w:p>
    <w:p w14:paraId="7FD4373E" w14:textId="62863982" w:rsidR="00EA0DD4" w:rsidRPr="00D71342" w:rsidRDefault="00EA0DD4" w:rsidP="00E507EC">
      <w:pPr>
        <w:ind w:left="709" w:right="725"/>
        <w:jc w:val="both"/>
        <w:rPr>
          <w:sz w:val="18"/>
          <w:szCs w:val="18"/>
        </w:rPr>
      </w:pPr>
      <w:r w:rsidRPr="00D71342">
        <w:rPr>
          <w:i/>
          <w:iCs/>
          <w:sz w:val="18"/>
          <w:szCs w:val="18"/>
        </w:rPr>
        <w:t>Annals Of Economics And Business, 69</w:t>
      </w:r>
      <w:r w:rsidRPr="00D71342">
        <w:rPr>
          <w:sz w:val="18"/>
          <w:szCs w:val="18"/>
        </w:rPr>
        <w:t>(4), 651-668. https://doi.org/10.47743/saeb-2022-0027</w:t>
      </w:r>
    </w:p>
    <w:p w14:paraId="0B58402F" w14:textId="77777777" w:rsidR="00EA0DD4" w:rsidRPr="00D71342" w:rsidRDefault="00EA0DD4" w:rsidP="00E507EC">
      <w:pPr>
        <w:ind w:left="709" w:right="725" w:hanging="708"/>
        <w:jc w:val="both"/>
        <w:rPr>
          <w:sz w:val="18"/>
          <w:szCs w:val="18"/>
        </w:rPr>
      </w:pPr>
      <w:r w:rsidRPr="00D71342">
        <w:rPr>
          <w:sz w:val="18"/>
          <w:szCs w:val="18"/>
        </w:rPr>
        <w:t>Speckemeier, L., &amp; Tsivrikos, D. (2022). Green entrepreneurship: Should legislators invest in the formation of sustainable hubs?. </w:t>
      </w:r>
      <w:r w:rsidRPr="00F82428">
        <w:rPr>
          <w:sz w:val="18"/>
          <w:szCs w:val="18"/>
        </w:rPr>
        <w:t>Sustainability, 14</w:t>
      </w:r>
      <w:r w:rsidRPr="00D71342">
        <w:rPr>
          <w:sz w:val="18"/>
          <w:szCs w:val="18"/>
        </w:rPr>
        <w:t>(12), 7152. https://doi.org/10.3390/su14127152</w:t>
      </w:r>
    </w:p>
    <w:p w14:paraId="6888DA32" w14:textId="77777777" w:rsidR="004B5548" w:rsidRDefault="00EA0DD4" w:rsidP="004B5548">
      <w:pPr>
        <w:ind w:left="709" w:right="725" w:hanging="708"/>
        <w:jc w:val="both"/>
        <w:rPr>
          <w:sz w:val="18"/>
          <w:szCs w:val="18"/>
        </w:rPr>
      </w:pPr>
      <w:r w:rsidRPr="00D71342">
        <w:rPr>
          <w:sz w:val="18"/>
          <w:szCs w:val="18"/>
        </w:rPr>
        <w:t xml:space="preserve">Stadnyk, V., Krasovska, G., Pchelianska, G., &amp; Holovchuk, Y. (2021). Determinants of “green entrepreneurship” competitive strategies implementation in the agro-industrial sector of Ukraine. </w:t>
      </w:r>
      <w:r w:rsidRPr="00F82428">
        <w:rPr>
          <w:sz w:val="18"/>
          <w:szCs w:val="18"/>
        </w:rPr>
        <w:t>IOP Conference Series</w:t>
      </w:r>
      <w:r w:rsidR="00F82428">
        <w:rPr>
          <w:sz w:val="18"/>
          <w:szCs w:val="18"/>
        </w:rPr>
        <w:t xml:space="preserve"> </w:t>
      </w:r>
      <w:r w:rsidRPr="00F82428">
        <w:rPr>
          <w:sz w:val="18"/>
          <w:szCs w:val="18"/>
        </w:rPr>
        <w:t xml:space="preserve">Earth </w:t>
      </w:r>
    </w:p>
    <w:p w14:paraId="53A30BE3" w14:textId="35967810" w:rsidR="00EA0DD4" w:rsidRPr="00D71342" w:rsidRDefault="00EA0DD4" w:rsidP="004B5548">
      <w:pPr>
        <w:ind w:left="1134" w:right="725"/>
        <w:jc w:val="both"/>
        <w:rPr>
          <w:sz w:val="18"/>
          <w:szCs w:val="18"/>
        </w:rPr>
      </w:pPr>
      <w:r w:rsidRPr="00F82428">
        <w:rPr>
          <w:sz w:val="18"/>
          <w:szCs w:val="18"/>
        </w:rPr>
        <w:lastRenderedPageBreak/>
        <w:t>And Environmental Science, 628</w:t>
      </w:r>
      <w:r w:rsidRPr="00D71342">
        <w:rPr>
          <w:sz w:val="18"/>
          <w:szCs w:val="18"/>
        </w:rPr>
        <w:t>(1), 012032. https://doi.org/10.1088/1755-1315/628/1/012032</w:t>
      </w:r>
    </w:p>
    <w:p w14:paraId="310BE1E0" w14:textId="77777777" w:rsidR="00EA0DD4" w:rsidRPr="00D71342" w:rsidRDefault="00EA0DD4" w:rsidP="00F82428">
      <w:pPr>
        <w:ind w:left="1134" w:right="442" w:hanging="708"/>
        <w:jc w:val="both"/>
        <w:rPr>
          <w:sz w:val="18"/>
          <w:szCs w:val="18"/>
        </w:rPr>
      </w:pPr>
      <w:r w:rsidRPr="00D71342">
        <w:rPr>
          <w:sz w:val="18"/>
          <w:szCs w:val="18"/>
        </w:rPr>
        <w:t>Stork, S., Morgenstern, R., Pölling, B., &amp; Feil, J. (2023). Holistic Business Model Conceptualisation—Capturing Sustainability Contributions Illustrated by Nature-Based Solutions.</w:t>
      </w:r>
      <w:r w:rsidRPr="00D71342">
        <w:rPr>
          <w:i/>
          <w:iCs/>
          <w:sz w:val="18"/>
          <w:szCs w:val="18"/>
        </w:rPr>
        <w:t xml:space="preserve"> Sustainability, 15</w:t>
      </w:r>
      <w:r w:rsidRPr="00D71342">
        <w:rPr>
          <w:sz w:val="18"/>
          <w:szCs w:val="18"/>
        </w:rPr>
        <w:t>(19), 14091. https://doi.org/10.3390/su151914091</w:t>
      </w:r>
    </w:p>
    <w:p w14:paraId="2FE5231F" w14:textId="77777777" w:rsidR="00EA0DD4" w:rsidRPr="00D71342" w:rsidRDefault="00EA0DD4" w:rsidP="00F82428">
      <w:pPr>
        <w:ind w:left="1134" w:right="442" w:hanging="708"/>
        <w:jc w:val="both"/>
        <w:rPr>
          <w:sz w:val="18"/>
          <w:szCs w:val="18"/>
        </w:rPr>
      </w:pPr>
      <w:r w:rsidRPr="00D71342">
        <w:rPr>
          <w:sz w:val="18"/>
          <w:szCs w:val="18"/>
        </w:rPr>
        <w:t xml:space="preserve">Sugiyanto, E. K., Widjajanti, K., Wijayanti, R., &amp; Ali, S. (2024). Challenges and Opportunities for Women’s Success in Entering Green Economy-Based Businesses: A Systematic Literature Review. </w:t>
      </w:r>
      <w:r w:rsidRPr="00D71342">
        <w:rPr>
          <w:i/>
          <w:iCs/>
          <w:sz w:val="18"/>
          <w:szCs w:val="18"/>
        </w:rPr>
        <w:t>Indonesian Journal of Sustainability Accounting and Management, 8</w:t>
      </w:r>
      <w:r w:rsidRPr="00D71342">
        <w:rPr>
          <w:sz w:val="18"/>
          <w:szCs w:val="18"/>
        </w:rPr>
        <w:t>(1), 1–19. https://doi.org/10.28992/ijsam.v8i1.868</w:t>
      </w:r>
    </w:p>
    <w:p w14:paraId="04812073" w14:textId="77777777" w:rsidR="00EA0DD4" w:rsidRPr="00D71342" w:rsidRDefault="00EA0DD4" w:rsidP="00F82428">
      <w:pPr>
        <w:ind w:left="1134" w:right="442" w:hanging="708"/>
        <w:jc w:val="both"/>
        <w:rPr>
          <w:sz w:val="18"/>
          <w:szCs w:val="18"/>
        </w:rPr>
      </w:pPr>
      <w:r w:rsidRPr="00D71342">
        <w:rPr>
          <w:sz w:val="18"/>
          <w:szCs w:val="18"/>
        </w:rPr>
        <w:t xml:space="preserve">Thao, N. T. P., Truong, D. D., Lan, B. T. H., Quang, B. H., Tam, D. D., &amp; An, N. D. (2025). Behavioral and cognitive drivers of green entrepreneurship in Net Zero context: an empirical analysis from Vietnam. </w:t>
      </w:r>
      <w:r w:rsidRPr="00D71342">
        <w:rPr>
          <w:i/>
          <w:iCs/>
          <w:sz w:val="18"/>
          <w:szCs w:val="18"/>
        </w:rPr>
        <w:t>Frontiers in Climate, 7</w:t>
      </w:r>
      <w:r w:rsidRPr="00D71342">
        <w:rPr>
          <w:sz w:val="18"/>
          <w:szCs w:val="18"/>
        </w:rPr>
        <w:t>. https://doi.org/10.3389/fclim.2025.1572386</w:t>
      </w:r>
    </w:p>
    <w:p w14:paraId="68C69A7D" w14:textId="77777777" w:rsidR="00EA0DD4" w:rsidRPr="00D71342" w:rsidRDefault="00EA0DD4" w:rsidP="00F82428">
      <w:pPr>
        <w:ind w:left="1134" w:right="442" w:hanging="708"/>
        <w:jc w:val="both"/>
        <w:rPr>
          <w:sz w:val="18"/>
          <w:szCs w:val="18"/>
        </w:rPr>
      </w:pPr>
      <w:r w:rsidRPr="00D71342">
        <w:rPr>
          <w:sz w:val="18"/>
          <w:szCs w:val="18"/>
        </w:rPr>
        <w:t xml:space="preserve">Tien, N. H., Van Tien, N., Mai, N. P., &amp; Duc, L. D. M. (2023). Green entrepreneurship: a game changer in Vietnam business landscape. </w:t>
      </w:r>
      <w:r w:rsidRPr="00D71342">
        <w:rPr>
          <w:i/>
          <w:iCs/>
          <w:sz w:val="18"/>
          <w:szCs w:val="18"/>
        </w:rPr>
        <w:t>International Journal Of Entrepreneurship And Small Business, 48</w:t>
      </w:r>
      <w:r w:rsidRPr="00D71342">
        <w:rPr>
          <w:sz w:val="18"/>
          <w:szCs w:val="18"/>
        </w:rPr>
        <w:t>(4), 408. https://doi.org/10.1504/ijesb.2023.130829</w:t>
      </w:r>
    </w:p>
    <w:p w14:paraId="2621AEE3" w14:textId="77777777" w:rsidR="00EA0DD4" w:rsidRPr="00D71342" w:rsidRDefault="00EA0DD4" w:rsidP="00F82428">
      <w:pPr>
        <w:ind w:left="1134" w:right="442" w:hanging="708"/>
        <w:jc w:val="both"/>
        <w:rPr>
          <w:sz w:val="18"/>
          <w:szCs w:val="18"/>
        </w:rPr>
      </w:pPr>
      <w:r w:rsidRPr="00D71342">
        <w:rPr>
          <w:sz w:val="18"/>
          <w:szCs w:val="18"/>
        </w:rPr>
        <w:t xml:space="preserve">Tuncer, B., &amp; Korchagina, E. (2024). A Systematic literature review and Conceptual Framework on green Entrepreneurial orientation. </w:t>
      </w:r>
      <w:r w:rsidRPr="00D71342">
        <w:rPr>
          <w:i/>
          <w:iCs/>
          <w:sz w:val="18"/>
          <w:szCs w:val="18"/>
        </w:rPr>
        <w:t>Administrative Sciences, 14</w:t>
      </w:r>
      <w:r w:rsidRPr="00D71342">
        <w:rPr>
          <w:sz w:val="18"/>
          <w:szCs w:val="18"/>
        </w:rPr>
        <w:t>(6), 109. https://doi.org/10.3390/admsci14060109</w:t>
      </w:r>
    </w:p>
    <w:p w14:paraId="753F0F81" w14:textId="77777777" w:rsidR="00EA0DD4" w:rsidRPr="00D71342" w:rsidRDefault="00EA0DD4" w:rsidP="00F82428">
      <w:pPr>
        <w:ind w:left="1134" w:right="442" w:hanging="708"/>
        <w:jc w:val="both"/>
        <w:rPr>
          <w:sz w:val="18"/>
          <w:szCs w:val="18"/>
        </w:rPr>
      </w:pPr>
      <w:r w:rsidRPr="00D71342">
        <w:rPr>
          <w:sz w:val="18"/>
          <w:szCs w:val="18"/>
        </w:rPr>
        <w:t xml:space="preserve">Vijaykumar, R., Gururaja, B. L., &amp; Rajeswari, P. S. (2025). Integrating Green Orientation, Innovation, and Sustainability: Systematic Review Using the TCCM Framework. </w:t>
      </w:r>
      <w:r w:rsidRPr="00D71342">
        <w:rPr>
          <w:i/>
          <w:iCs/>
          <w:sz w:val="18"/>
          <w:szCs w:val="18"/>
        </w:rPr>
        <w:t>Acta Innovations, 56</w:t>
      </w:r>
      <w:r w:rsidRPr="00D71342">
        <w:rPr>
          <w:sz w:val="18"/>
          <w:szCs w:val="18"/>
        </w:rPr>
        <w:t>, 30-46. https://doi.org/10.62441/actainnovations.v56i.414</w:t>
      </w:r>
    </w:p>
    <w:p w14:paraId="0F42CE4A" w14:textId="77777777" w:rsidR="00EA0DD4" w:rsidRPr="00D71342" w:rsidRDefault="00EA0DD4" w:rsidP="00F82428">
      <w:pPr>
        <w:ind w:left="1134" w:right="442" w:hanging="708"/>
        <w:jc w:val="both"/>
        <w:rPr>
          <w:sz w:val="18"/>
          <w:szCs w:val="18"/>
        </w:rPr>
      </w:pPr>
      <w:r w:rsidRPr="00D71342">
        <w:rPr>
          <w:sz w:val="18"/>
          <w:szCs w:val="18"/>
        </w:rPr>
        <w:t xml:space="preserve">Viona, P. Y., &amp; Febby, P. C. (2025). The role of technology for green entrepreneurship in southeast asia. </w:t>
      </w:r>
      <w:r w:rsidRPr="00D71342">
        <w:rPr>
          <w:i/>
          <w:iCs/>
          <w:sz w:val="18"/>
          <w:szCs w:val="18"/>
        </w:rPr>
        <w:t>IOP Conference Series Earth And Environmental Science, 1441</w:t>
      </w:r>
      <w:r w:rsidRPr="00D71342">
        <w:rPr>
          <w:sz w:val="18"/>
          <w:szCs w:val="18"/>
        </w:rPr>
        <w:t>(1), 012003. https://doi.org/10.1088/1755-1315/1441/1/012003</w:t>
      </w:r>
    </w:p>
    <w:p w14:paraId="10F09B44" w14:textId="53CD38E6" w:rsidR="00EA0DD4" w:rsidRPr="00D71342" w:rsidRDefault="00EA0DD4" w:rsidP="004B5548">
      <w:pPr>
        <w:ind w:left="1134" w:right="442" w:hanging="708"/>
        <w:jc w:val="both"/>
        <w:rPr>
          <w:sz w:val="18"/>
          <w:szCs w:val="18"/>
        </w:rPr>
      </w:pPr>
      <w:r w:rsidRPr="00D71342">
        <w:rPr>
          <w:sz w:val="18"/>
          <w:szCs w:val="18"/>
        </w:rPr>
        <w:t>Widiatmaka, F. P., Suharso, D. D., Sukrisno, S., Plesa, R.,</w:t>
      </w:r>
      <w:r w:rsidR="004B5548">
        <w:rPr>
          <w:sz w:val="18"/>
          <w:szCs w:val="18"/>
        </w:rPr>
        <w:t xml:space="preserve"> </w:t>
      </w:r>
      <w:r w:rsidRPr="00D71342">
        <w:rPr>
          <w:sz w:val="18"/>
          <w:szCs w:val="18"/>
        </w:rPr>
        <w:t xml:space="preserve">&amp; Saputra, J. (2025). University green support and education as drivers of green entrepreneurial intentions in Indonesia. </w:t>
      </w:r>
      <w:r w:rsidRPr="00D71342">
        <w:rPr>
          <w:i/>
          <w:iCs/>
          <w:sz w:val="18"/>
          <w:szCs w:val="18"/>
        </w:rPr>
        <w:t>Polish Journal of Management Studies, 31</w:t>
      </w:r>
      <w:r w:rsidRPr="00D71342">
        <w:rPr>
          <w:sz w:val="18"/>
          <w:szCs w:val="18"/>
        </w:rPr>
        <w:t>. https://doi.org/10.17512/pjms.2025.31.2.17</w:t>
      </w:r>
    </w:p>
    <w:p w14:paraId="798143E2" w14:textId="77777777" w:rsidR="00EA0DD4" w:rsidRPr="00D71342" w:rsidRDefault="00EA0DD4" w:rsidP="00F82428">
      <w:pPr>
        <w:ind w:left="1134" w:right="442" w:hanging="708"/>
        <w:jc w:val="both"/>
        <w:rPr>
          <w:sz w:val="18"/>
          <w:szCs w:val="18"/>
        </w:rPr>
      </w:pPr>
      <w:r w:rsidRPr="00D71342">
        <w:rPr>
          <w:sz w:val="18"/>
          <w:szCs w:val="18"/>
        </w:rPr>
        <w:t xml:space="preserve">Le, Y., &amp; Zhang, X. (2024). How Green Entrepreneurial Orientation Influences Corporate Performance: The Missing Link of Green Knowledge Sharing. </w:t>
      </w:r>
      <w:r w:rsidRPr="00D71342">
        <w:rPr>
          <w:i/>
          <w:iCs/>
          <w:sz w:val="18"/>
          <w:szCs w:val="18"/>
        </w:rPr>
        <w:t>Sustainability, 16</w:t>
      </w:r>
      <w:r w:rsidRPr="00D71342">
        <w:rPr>
          <w:sz w:val="18"/>
          <w:szCs w:val="18"/>
        </w:rPr>
        <w:t>(24), 11295. https://doi.org/10.3390/su162411295</w:t>
      </w:r>
    </w:p>
    <w:p w14:paraId="6F16408A" w14:textId="77777777" w:rsidR="00EA0DD4" w:rsidRPr="00D71342" w:rsidRDefault="00EA0DD4" w:rsidP="00F82428">
      <w:pPr>
        <w:ind w:left="1134" w:right="442" w:hanging="708"/>
        <w:jc w:val="both"/>
        <w:rPr>
          <w:sz w:val="18"/>
          <w:szCs w:val="18"/>
        </w:rPr>
      </w:pPr>
      <w:r w:rsidRPr="00D71342">
        <w:rPr>
          <w:sz w:val="18"/>
          <w:szCs w:val="18"/>
        </w:rPr>
        <w:t xml:space="preserve">Yang, X., Liao, S., &amp; Li, R. (2021). The evolution of new ventures’ behavioral strategies and the role played by governments in the green entrepreneurship context: an evolutionary game theory perspective. </w:t>
      </w:r>
      <w:r w:rsidRPr="00D71342">
        <w:rPr>
          <w:i/>
          <w:iCs/>
          <w:sz w:val="18"/>
          <w:szCs w:val="18"/>
        </w:rPr>
        <w:t>Environmental Science And Pollution Research, 28</w:t>
      </w:r>
      <w:r w:rsidRPr="00D71342">
        <w:rPr>
          <w:sz w:val="18"/>
          <w:szCs w:val="18"/>
        </w:rPr>
        <w:t>(24), 31479-31496. https://doi.org/10.1007/s11356-021-12748-6</w:t>
      </w:r>
    </w:p>
    <w:p w14:paraId="43B6EFAF" w14:textId="5F95973E" w:rsidR="00EA0DD4" w:rsidRPr="00D71342" w:rsidRDefault="00EA0DD4" w:rsidP="00E507EC">
      <w:pPr>
        <w:ind w:left="1134" w:right="442" w:hanging="708"/>
        <w:jc w:val="both"/>
        <w:rPr>
          <w:sz w:val="18"/>
          <w:szCs w:val="18"/>
        </w:rPr>
      </w:pPr>
      <w:r w:rsidRPr="00D71342">
        <w:rPr>
          <w:sz w:val="18"/>
          <w:szCs w:val="18"/>
        </w:rPr>
        <w:t>Yasir, N., Babar, M., Mehmood, H. S., Xie, R., &amp; Guo, G.</w:t>
      </w:r>
      <w:r w:rsidR="00E507EC">
        <w:rPr>
          <w:sz w:val="18"/>
          <w:szCs w:val="18"/>
        </w:rPr>
        <w:t xml:space="preserve"> </w:t>
      </w:r>
      <w:r w:rsidRPr="00D71342">
        <w:rPr>
          <w:sz w:val="18"/>
          <w:szCs w:val="18"/>
        </w:rPr>
        <w:t>(2023).</w:t>
      </w:r>
      <w:r w:rsidR="00F82428">
        <w:rPr>
          <w:sz w:val="18"/>
          <w:szCs w:val="18"/>
        </w:rPr>
        <w:t xml:space="preserve"> </w:t>
      </w:r>
      <w:r w:rsidRPr="00D71342">
        <w:rPr>
          <w:sz w:val="18"/>
          <w:szCs w:val="18"/>
        </w:rPr>
        <w:t>The Environmental Values Play a Role in the</w:t>
      </w:r>
      <w:r w:rsidR="00F82428">
        <w:rPr>
          <w:sz w:val="18"/>
          <w:szCs w:val="18"/>
        </w:rPr>
        <w:t xml:space="preserve"> </w:t>
      </w:r>
      <w:r w:rsidRPr="00D71342">
        <w:rPr>
          <w:sz w:val="18"/>
          <w:szCs w:val="18"/>
        </w:rPr>
        <w:t xml:space="preserve">Development of Green Entrepreneurship to Achieve Sustainable Entrepreneurial Intention. </w:t>
      </w:r>
      <w:r w:rsidRPr="00D71342">
        <w:rPr>
          <w:i/>
          <w:iCs/>
          <w:sz w:val="18"/>
          <w:szCs w:val="18"/>
        </w:rPr>
        <w:t>Sustainability, 15</w:t>
      </w:r>
      <w:r w:rsidRPr="00D71342">
        <w:rPr>
          <w:sz w:val="18"/>
          <w:szCs w:val="18"/>
        </w:rPr>
        <w:t>(8), 6451. https://doi.org/10.3390/su15086451</w:t>
      </w:r>
    </w:p>
    <w:p w14:paraId="5C15E8A9" w14:textId="29AEFD74" w:rsidR="00EA0DD4" w:rsidRPr="00D71342" w:rsidRDefault="00EA0DD4" w:rsidP="00E507EC">
      <w:pPr>
        <w:ind w:left="1134" w:right="725" w:hanging="708"/>
        <w:jc w:val="both"/>
        <w:rPr>
          <w:sz w:val="18"/>
          <w:szCs w:val="18"/>
        </w:rPr>
      </w:pPr>
      <w:r w:rsidRPr="00D71342">
        <w:rPr>
          <w:sz w:val="18"/>
          <w:szCs w:val="18"/>
        </w:rPr>
        <w:t>Yu, C., Yan, S., &amp; Zhang, X. (2024). The Effect of Green</w:t>
      </w:r>
      <w:r w:rsidR="00E507EC">
        <w:rPr>
          <w:sz w:val="18"/>
          <w:szCs w:val="18"/>
        </w:rPr>
        <w:t xml:space="preserve"> </w:t>
      </w:r>
      <w:r w:rsidRPr="00D71342">
        <w:rPr>
          <w:sz w:val="18"/>
          <w:szCs w:val="18"/>
        </w:rPr>
        <w:t>Entrepreneurship education on green</w:t>
      </w:r>
      <w:r w:rsidR="00E507EC">
        <w:rPr>
          <w:sz w:val="18"/>
          <w:szCs w:val="18"/>
        </w:rPr>
        <w:t xml:space="preserve"> </w:t>
      </w:r>
      <w:r w:rsidRPr="00D71342">
        <w:rPr>
          <w:sz w:val="18"/>
          <w:szCs w:val="18"/>
        </w:rPr>
        <w:t xml:space="preserve">entrepreneurial Intentions: A case study of the Guangxi Zhuang Autonomous Region, China. </w:t>
      </w:r>
      <w:r w:rsidRPr="00F82428">
        <w:rPr>
          <w:sz w:val="18"/>
          <w:szCs w:val="18"/>
        </w:rPr>
        <w:t>Sustainability, 16</w:t>
      </w:r>
      <w:r w:rsidRPr="00D71342">
        <w:rPr>
          <w:sz w:val="18"/>
          <w:szCs w:val="18"/>
        </w:rPr>
        <w:t>(21), 9249. https://doi.org/10.3390/su16219249</w:t>
      </w:r>
    </w:p>
    <w:p w14:paraId="4F8B7E4D" w14:textId="3B6DF0A8" w:rsidR="00EA0DD4" w:rsidRPr="00D71342" w:rsidRDefault="00EA0DD4" w:rsidP="00E507EC">
      <w:pPr>
        <w:ind w:left="709" w:right="725" w:hanging="708"/>
        <w:jc w:val="both"/>
        <w:rPr>
          <w:sz w:val="18"/>
          <w:szCs w:val="18"/>
        </w:rPr>
      </w:pPr>
      <w:r w:rsidRPr="00D71342">
        <w:rPr>
          <w:sz w:val="18"/>
          <w:szCs w:val="18"/>
        </w:rPr>
        <w:t>Zeng, J., &amp; Ren, J. (2022). How does green entrepreneurship</w:t>
      </w:r>
      <w:r w:rsidR="00E507EC">
        <w:rPr>
          <w:sz w:val="18"/>
          <w:szCs w:val="18"/>
        </w:rPr>
        <w:t xml:space="preserve"> </w:t>
      </w:r>
      <w:r w:rsidRPr="00D71342">
        <w:rPr>
          <w:sz w:val="18"/>
          <w:szCs w:val="18"/>
        </w:rPr>
        <w:t>affect environmental improvement? Empirical findings from 293 enterprises. </w:t>
      </w:r>
      <w:r w:rsidRPr="00F82428">
        <w:rPr>
          <w:sz w:val="18"/>
          <w:szCs w:val="18"/>
        </w:rPr>
        <w:t>International Entrepreneurship and Management Journal, 18</w:t>
      </w:r>
      <w:r w:rsidRPr="00D71342">
        <w:rPr>
          <w:sz w:val="18"/>
          <w:szCs w:val="18"/>
        </w:rPr>
        <w:t>(1), 409-434. https://doi.org/10.1007/s11365-021-00780-4</w:t>
      </w:r>
    </w:p>
    <w:p w14:paraId="357920D2" w14:textId="77777777" w:rsidR="00EA0DD4" w:rsidRPr="00D71342" w:rsidRDefault="00EA0DD4" w:rsidP="00F82428">
      <w:pPr>
        <w:ind w:left="709" w:right="725" w:hanging="708"/>
        <w:jc w:val="both"/>
        <w:rPr>
          <w:sz w:val="18"/>
          <w:szCs w:val="18"/>
        </w:rPr>
      </w:pPr>
      <w:r w:rsidRPr="00D71342">
        <w:rPr>
          <w:sz w:val="18"/>
          <w:szCs w:val="18"/>
        </w:rPr>
        <w:t xml:space="preserve">Zhang, X., Zhang, X. E., &amp; Yang, L. (2024). Does green entrepreneurial orientation improve the sustainable performance of agribusiness? Evidence from China. </w:t>
      </w:r>
      <w:r w:rsidRPr="00D71342">
        <w:rPr>
          <w:i/>
          <w:iCs/>
          <w:sz w:val="18"/>
          <w:szCs w:val="18"/>
        </w:rPr>
        <w:t>Sage Open, 14(</w:t>
      </w:r>
      <w:r w:rsidRPr="00D71342">
        <w:rPr>
          <w:sz w:val="18"/>
          <w:szCs w:val="18"/>
        </w:rPr>
        <w:t>3). https://doi.org/10.1177/21582440241271110</w:t>
      </w:r>
    </w:p>
    <w:p w14:paraId="02ECF1C2" w14:textId="77777777" w:rsidR="00EA0DD4" w:rsidRPr="00D71342" w:rsidRDefault="00EA0DD4" w:rsidP="00F82428">
      <w:pPr>
        <w:ind w:left="709" w:right="725" w:hanging="708"/>
        <w:jc w:val="both"/>
        <w:rPr>
          <w:sz w:val="18"/>
          <w:szCs w:val="18"/>
        </w:rPr>
      </w:pPr>
      <w:r w:rsidRPr="00D71342">
        <w:rPr>
          <w:sz w:val="18"/>
          <w:szCs w:val="18"/>
        </w:rPr>
        <w:t xml:space="preserve">Zhang, X., &amp; Li, Q. (2021). Does Green Proactiveness Orientation Improve the Performance of Agricultural New Ventures in China? The Mediating Effect of Sustainable Opportunity Recognition. </w:t>
      </w:r>
      <w:r w:rsidRPr="00D71342">
        <w:rPr>
          <w:i/>
          <w:iCs/>
          <w:sz w:val="18"/>
          <w:szCs w:val="18"/>
        </w:rPr>
        <w:t>Sage Open, 11</w:t>
      </w:r>
      <w:r w:rsidRPr="00D71342">
        <w:rPr>
          <w:sz w:val="18"/>
          <w:szCs w:val="18"/>
        </w:rPr>
        <w:t>(4)</w:t>
      </w:r>
    </w:p>
    <w:p w14:paraId="57034E4E" w14:textId="77777777" w:rsidR="00EA0DD4" w:rsidRPr="00D71342" w:rsidRDefault="00EA0DD4" w:rsidP="00F82428">
      <w:pPr>
        <w:ind w:left="709" w:right="725" w:hanging="708"/>
        <w:jc w:val="both"/>
        <w:rPr>
          <w:sz w:val="18"/>
          <w:szCs w:val="18"/>
        </w:rPr>
      </w:pPr>
      <w:r w:rsidRPr="00D71342">
        <w:rPr>
          <w:sz w:val="18"/>
          <w:szCs w:val="18"/>
        </w:rPr>
        <w:t>Zheng, T., &amp; Li, G. (2025). New effects of environmental policy: does energy quota trading policy affect green entrepreneurship?. </w:t>
      </w:r>
      <w:r w:rsidRPr="00D71342">
        <w:rPr>
          <w:i/>
          <w:iCs/>
          <w:sz w:val="18"/>
          <w:szCs w:val="18"/>
        </w:rPr>
        <w:t>Economic Change and Restructuring, 58</w:t>
      </w:r>
      <w:r w:rsidRPr="00D71342">
        <w:rPr>
          <w:sz w:val="18"/>
          <w:szCs w:val="18"/>
        </w:rPr>
        <w:t>(6), 100. https://doi.org/10.1007/s10644-025-09941-9</w:t>
      </w:r>
    </w:p>
    <w:p w14:paraId="38E41E61" w14:textId="34DFF456" w:rsidR="00913D5D" w:rsidRPr="00D71342" w:rsidRDefault="00EA0DD4" w:rsidP="00F82428">
      <w:pPr>
        <w:ind w:left="709" w:right="725" w:hanging="708"/>
        <w:jc w:val="both"/>
        <w:rPr>
          <w:sz w:val="18"/>
          <w:szCs w:val="18"/>
        </w:rPr>
      </w:pPr>
      <w:r w:rsidRPr="00D71342">
        <w:rPr>
          <w:sz w:val="18"/>
          <w:szCs w:val="18"/>
        </w:rPr>
        <w:t xml:space="preserve">Zhongyi, F., &amp; Jing, T. (2025). lmpacts of green finance cognition on entrepreneurial performance. </w:t>
      </w:r>
      <w:r w:rsidRPr="00D71342">
        <w:rPr>
          <w:i/>
          <w:iCs/>
          <w:sz w:val="18"/>
          <w:szCs w:val="18"/>
        </w:rPr>
        <w:t>Finance Research Letters, 89</w:t>
      </w:r>
      <w:r w:rsidRPr="00D71342">
        <w:rPr>
          <w:sz w:val="18"/>
          <w:szCs w:val="18"/>
        </w:rPr>
        <w:t>, 109327. https://doi.org/10.1016/j.frl.2025.109327</w:t>
      </w:r>
    </w:p>
    <w:sectPr w:rsidR="00913D5D" w:rsidRPr="00D71342" w:rsidSect="00D71342">
      <w:type w:val="continuous"/>
      <w:pgSz w:w="12240" w:h="15840"/>
      <w:pgMar w:top="1000" w:right="360" w:bottom="1200" w:left="720" w:header="0" w:footer="1000" w:gutter="0"/>
      <w:cols w:num="2" w:space="6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3E060" w14:textId="77777777" w:rsidR="00B07C8D" w:rsidRDefault="00B07C8D">
      <w:r>
        <w:separator/>
      </w:r>
    </w:p>
  </w:endnote>
  <w:endnote w:type="continuationSeparator" w:id="0">
    <w:p w14:paraId="0275C4DB" w14:textId="77777777" w:rsidR="00B07C8D" w:rsidRDefault="00B07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701BA" w14:textId="77777777" w:rsidR="004D0644" w:rsidRDefault="004D0644">
    <w:pPr>
      <w:pStyle w:val="Textoindependiente"/>
      <w:spacing w:line="14" w:lineRule="auto"/>
      <w:rPr>
        <w:sz w:val="20"/>
      </w:rPr>
    </w:pPr>
    <w:r>
      <w:rPr>
        <w:noProof/>
        <w:sz w:val="20"/>
        <w:lang w:val="es-CO" w:eastAsia="es-CO"/>
      </w:rPr>
      <mc:AlternateContent>
        <mc:Choice Requires="wps">
          <w:drawing>
            <wp:anchor distT="0" distB="0" distL="0" distR="0" simplePos="0" relativeHeight="487172608" behindDoc="1" locked="0" layoutInCell="1" allowOverlap="1" wp14:anchorId="4C4D2351" wp14:editId="4650C0A1">
              <wp:simplePos x="0" y="0"/>
              <wp:positionH relativeFrom="page">
                <wp:posOffset>6934961</wp:posOffset>
              </wp:positionH>
              <wp:positionV relativeFrom="page">
                <wp:posOffset>9283395</wp:posOffset>
              </wp:positionV>
              <wp:extent cx="20701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7010" cy="165735"/>
                      </a:xfrm>
                      <a:prstGeom prst="rect">
                        <a:avLst/>
                      </a:prstGeom>
                    </wps:spPr>
                    <wps:txbx>
                      <w:txbxContent>
                        <w:p w14:paraId="0954716F" w14:textId="77777777" w:rsidR="004D0644" w:rsidRDefault="004D0644">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B64875">
                            <w:rPr>
                              <w:rFonts w:ascii="Calibri"/>
                              <w:noProof/>
                              <w:spacing w:val="-5"/>
                            </w:rPr>
                            <w:t>5</w:t>
                          </w:r>
                          <w:r>
                            <w:rPr>
                              <w:rFonts w:ascii="Calibri"/>
                              <w:spacing w:val="-5"/>
                            </w:rPr>
                            <w:fldChar w:fldCharType="end"/>
                          </w:r>
                        </w:p>
                      </w:txbxContent>
                    </wps:txbx>
                    <wps:bodyPr wrap="square" lIns="0" tIns="0" rIns="0" bIns="0" rtlCol="0">
                      <a:noAutofit/>
                    </wps:bodyPr>
                  </wps:wsp>
                </a:graphicData>
              </a:graphic>
            </wp:anchor>
          </w:drawing>
        </mc:Choice>
        <mc:Fallback>
          <w:pict>
            <v:shapetype w14:anchorId="4C4D2351" id="_x0000_t202" coordsize="21600,21600" o:spt="202" path="m,l,21600r21600,l21600,xe">
              <v:stroke joinstyle="miter"/>
              <v:path gradientshapeok="t" o:connecttype="rect"/>
            </v:shapetype>
            <v:shape id="Textbox 1" o:spid="_x0000_s1026" type="#_x0000_t202" style="position:absolute;margin-left:546.05pt;margin-top:731pt;width:16.3pt;height:13.05pt;z-index:-1614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" filled="f" stroked="f">
              <v:textbox inset="0,0,0,0">
                <w:txbxContent>
                  <w:p w14:paraId="0954716F" w14:textId="77777777" w:rsidR="004D0644" w:rsidRDefault="004D0644">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B64875">
                      <w:rPr>
                        <w:rFonts w:ascii="Calibri"/>
                        <w:noProof/>
                        <w:spacing w:val="-5"/>
                      </w:rPr>
                      <w:t>5</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22504" w14:textId="77777777" w:rsidR="00B07C8D" w:rsidRDefault="00B07C8D">
      <w:r>
        <w:separator/>
      </w:r>
    </w:p>
  </w:footnote>
  <w:footnote w:type="continuationSeparator" w:id="0">
    <w:p w14:paraId="0A30C607" w14:textId="77777777" w:rsidR="00B07C8D" w:rsidRDefault="00B07C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B71374"/>
    <w:multiLevelType w:val="hybridMultilevel"/>
    <w:tmpl w:val="0A3E3AB6"/>
    <w:lvl w:ilvl="0" w:tplc="B8D42C2A">
      <w:start w:val="1"/>
      <w:numFmt w:val="decimal"/>
      <w:lvlText w:val="%1."/>
      <w:lvlJc w:val="left"/>
      <w:pPr>
        <w:ind w:left="641" w:hanging="284"/>
        <w:jc w:val="right"/>
      </w:pPr>
      <w:rPr>
        <w:rFonts w:hint="default"/>
        <w:spacing w:val="0"/>
        <w:w w:val="100"/>
        <w:lang w:val="es-ES" w:eastAsia="en-US" w:bidi="ar-SA"/>
      </w:rPr>
    </w:lvl>
    <w:lvl w:ilvl="1" w:tplc="9C841E74">
      <w:numFmt w:val="bullet"/>
      <w:lvlText w:val="•"/>
      <w:lvlJc w:val="left"/>
      <w:pPr>
        <w:ind w:left="1164" w:hanging="284"/>
      </w:pPr>
      <w:rPr>
        <w:rFonts w:hint="default"/>
        <w:lang w:val="es-ES" w:eastAsia="en-US" w:bidi="ar-SA"/>
      </w:rPr>
    </w:lvl>
    <w:lvl w:ilvl="2" w:tplc="BF7437FA">
      <w:numFmt w:val="bullet"/>
      <w:lvlText w:val="•"/>
      <w:lvlJc w:val="left"/>
      <w:pPr>
        <w:ind w:left="1688" w:hanging="284"/>
      </w:pPr>
      <w:rPr>
        <w:rFonts w:hint="default"/>
        <w:lang w:val="es-ES" w:eastAsia="en-US" w:bidi="ar-SA"/>
      </w:rPr>
    </w:lvl>
    <w:lvl w:ilvl="3" w:tplc="BA3ADDEE">
      <w:numFmt w:val="bullet"/>
      <w:lvlText w:val="•"/>
      <w:lvlJc w:val="left"/>
      <w:pPr>
        <w:ind w:left="2212" w:hanging="284"/>
      </w:pPr>
      <w:rPr>
        <w:rFonts w:hint="default"/>
        <w:lang w:val="es-ES" w:eastAsia="en-US" w:bidi="ar-SA"/>
      </w:rPr>
    </w:lvl>
    <w:lvl w:ilvl="4" w:tplc="738887B8">
      <w:numFmt w:val="bullet"/>
      <w:lvlText w:val="•"/>
      <w:lvlJc w:val="left"/>
      <w:pPr>
        <w:ind w:left="2736" w:hanging="284"/>
      </w:pPr>
      <w:rPr>
        <w:rFonts w:hint="default"/>
        <w:lang w:val="es-ES" w:eastAsia="en-US" w:bidi="ar-SA"/>
      </w:rPr>
    </w:lvl>
    <w:lvl w:ilvl="5" w:tplc="3A846A96">
      <w:numFmt w:val="bullet"/>
      <w:lvlText w:val="•"/>
      <w:lvlJc w:val="left"/>
      <w:pPr>
        <w:ind w:left="3260" w:hanging="284"/>
      </w:pPr>
      <w:rPr>
        <w:rFonts w:hint="default"/>
        <w:lang w:val="es-ES" w:eastAsia="en-US" w:bidi="ar-SA"/>
      </w:rPr>
    </w:lvl>
    <w:lvl w:ilvl="6" w:tplc="87A67700">
      <w:numFmt w:val="bullet"/>
      <w:lvlText w:val="•"/>
      <w:lvlJc w:val="left"/>
      <w:pPr>
        <w:ind w:left="3784" w:hanging="284"/>
      </w:pPr>
      <w:rPr>
        <w:rFonts w:hint="default"/>
        <w:lang w:val="es-ES" w:eastAsia="en-US" w:bidi="ar-SA"/>
      </w:rPr>
    </w:lvl>
    <w:lvl w:ilvl="7" w:tplc="A31044C6">
      <w:numFmt w:val="bullet"/>
      <w:lvlText w:val="•"/>
      <w:lvlJc w:val="left"/>
      <w:pPr>
        <w:ind w:left="4308" w:hanging="284"/>
      </w:pPr>
      <w:rPr>
        <w:rFonts w:hint="default"/>
        <w:lang w:val="es-ES" w:eastAsia="en-US" w:bidi="ar-SA"/>
      </w:rPr>
    </w:lvl>
    <w:lvl w:ilvl="8" w:tplc="DDDE1774">
      <w:numFmt w:val="bullet"/>
      <w:lvlText w:val="•"/>
      <w:lvlJc w:val="left"/>
      <w:pPr>
        <w:ind w:left="4833" w:hanging="284"/>
      </w:pPr>
      <w:rPr>
        <w:rFonts w:hint="default"/>
        <w:lang w:val="es-ES" w:eastAsia="en-US" w:bidi="ar-SA"/>
      </w:rPr>
    </w:lvl>
  </w:abstractNum>
  <w:abstractNum w:abstractNumId="1" w15:restartNumberingAfterBreak="0">
    <w:nsid w:val="461011B6"/>
    <w:multiLevelType w:val="multilevel"/>
    <w:tmpl w:val="DC344216"/>
    <w:lvl w:ilvl="0">
      <w:start w:val="2"/>
      <w:numFmt w:val="decimal"/>
      <w:lvlText w:val="%1"/>
      <w:lvlJc w:val="left"/>
      <w:pPr>
        <w:ind w:left="854" w:hanging="498"/>
      </w:pPr>
      <w:rPr>
        <w:rFonts w:hint="default"/>
        <w:lang w:val="es-ES" w:eastAsia="en-US" w:bidi="ar-SA"/>
      </w:rPr>
    </w:lvl>
    <w:lvl w:ilvl="1">
      <w:start w:val="1"/>
      <w:numFmt w:val="decimal"/>
      <w:lvlText w:val="%1.%2"/>
      <w:lvlJc w:val="left"/>
      <w:pPr>
        <w:ind w:left="854" w:hanging="498"/>
      </w:pPr>
      <w:rPr>
        <w:rFonts w:hint="default"/>
        <w:lang w:val="es-ES" w:eastAsia="en-US" w:bidi="ar-SA"/>
      </w:rPr>
    </w:lvl>
    <w:lvl w:ilvl="2">
      <w:start w:val="1"/>
      <w:numFmt w:val="decimal"/>
      <w:lvlText w:val="%1.%2.%3"/>
      <w:lvlJc w:val="left"/>
      <w:pPr>
        <w:ind w:left="854" w:hanging="498"/>
      </w:pPr>
      <w:rPr>
        <w:rFonts w:ascii="Times New Roman" w:eastAsia="Times New Roman" w:hAnsi="Times New Roman" w:cs="Times New Roman" w:hint="default"/>
        <w:b w:val="0"/>
        <w:bCs w:val="0"/>
        <w:i/>
        <w:iCs/>
        <w:spacing w:val="0"/>
        <w:w w:val="100"/>
        <w:sz w:val="22"/>
        <w:szCs w:val="22"/>
        <w:lang w:val="es-ES" w:eastAsia="en-US" w:bidi="ar-SA"/>
      </w:rPr>
    </w:lvl>
    <w:lvl w:ilvl="3">
      <w:numFmt w:val="bullet"/>
      <w:lvlText w:val="•"/>
      <w:lvlJc w:val="left"/>
      <w:pPr>
        <w:ind w:left="2164" w:hanging="498"/>
      </w:pPr>
      <w:rPr>
        <w:rFonts w:hint="default"/>
        <w:lang w:val="es-ES" w:eastAsia="en-US" w:bidi="ar-SA"/>
      </w:rPr>
    </w:lvl>
    <w:lvl w:ilvl="4">
      <w:numFmt w:val="bullet"/>
      <w:lvlText w:val="•"/>
      <w:lvlJc w:val="left"/>
      <w:pPr>
        <w:ind w:left="2599" w:hanging="498"/>
      </w:pPr>
      <w:rPr>
        <w:rFonts w:hint="default"/>
        <w:lang w:val="es-ES" w:eastAsia="en-US" w:bidi="ar-SA"/>
      </w:rPr>
    </w:lvl>
    <w:lvl w:ilvl="5">
      <w:numFmt w:val="bullet"/>
      <w:lvlText w:val="•"/>
      <w:lvlJc w:val="left"/>
      <w:pPr>
        <w:ind w:left="3034" w:hanging="498"/>
      </w:pPr>
      <w:rPr>
        <w:rFonts w:hint="default"/>
        <w:lang w:val="es-ES" w:eastAsia="en-US" w:bidi="ar-SA"/>
      </w:rPr>
    </w:lvl>
    <w:lvl w:ilvl="6">
      <w:numFmt w:val="bullet"/>
      <w:lvlText w:val="•"/>
      <w:lvlJc w:val="left"/>
      <w:pPr>
        <w:ind w:left="3469" w:hanging="498"/>
      </w:pPr>
      <w:rPr>
        <w:rFonts w:hint="default"/>
        <w:lang w:val="es-ES" w:eastAsia="en-US" w:bidi="ar-SA"/>
      </w:rPr>
    </w:lvl>
    <w:lvl w:ilvl="7">
      <w:numFmt w:val="bullet"/>
      <w:lvlText w:val="•"/>
      <w:lvlJc w:val="left"/>
      <w:pPr>
        <w:ind w:left="3903" w:hanging="498"/>
      </w:pPr>
      <w:rPr>
        <w:rFonts w:hint="default"/>
        <w:lang w:val="es-ES" w:eastAsia="en-US" w:bidi="ar-SA"/>
      </w:rPr>
    </w:lvl>
    <w:lvl w:ilvl="8">
      <w:numFmt w:val="bullet"/>
      <w:lvlText w:val="•"/>
      <w:lvlJc w:val="left"/>
      <w:pPr>
        <w:ind w:left="4338" w:hanging="498"/>
      </w:pPr>
      <w:rPr>
        <w:rFonts w:hint="default"/>
        <w:lang w:val="es-E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951"/>
    <w:rsid w:val="000B794D"/>
    <w:rsid w:val="001508CB"/>
    <w:rsid w:val="0016045C"/>
    <w:rsid w:val="001D0079"/>
    <w:rsid w:val="001D7611"/>
    <w:rsid w:val="00201F71"/>
    <w:rsid w:val="0026341B"/>
    <w:rsid w:val="0033076F"/>
    <w:rsid w:val="003328F3"/>
    <w:rsid w:val="003A6A51"/>
    <w:rsid w:val="003C45FB"/>
    <w:rsid w:val="003D2473"/>
    <w:rsid w:val="003F1892"/>
    <w:rsid w:val="00410BD8"/>
    <w:rsid w:val="004452EA"/>
    <w:rsid w:val="004726B5"/>
    <w:rsid w:val="00483DD0"/>
    <w:rsid w:val="004B5548"/>
    <w:rsid w:val="004C7D81"/>
    <w:rsid w:val="004D0644"/>
    <w:rsid w:val="0054585D"/>
    <w:rsid w:val="00561D50"/>
    <w:rsid w:val="005B3937"/>
    <w:rsid w:val="005E404B"/>
    <w:rsid w:val="00635370"/>
    <w:rsid w:val="00671DF2"/>
    <w:rsid w:val="0069238C"/>
    <w:rsid w:val="00694FC6"/>
    <w:rsid w:val="006D6CE2"/>
    <w:rsid w:val="006E692E"/>
    <w:rsid w:val="00715602"/>
    <w:rsid w:val="0075754C"/>
    <w:rsid w:val="007C3716"/>
    <w:rsid w:val="00813F12"/>
    <w:rsid w:val="008217E7"/>
    <w:rsid w:val="00832FBB"/>
    <w:rsid w:val="00882875"/>
    <w:rsid w:val="008A637E"/>
    <w:rsid w:val="008B2846"/>
    <w:rsid w:val="008E65B0"/>
    <w:rsid w:val="00913D5D"/>
    <w:rsid w:val="0093467D"/>
    <w:rsid w:val="00936BB7"/>
    <w:rsid w:val="00941A53"/>
    <w:rsid w:val="00950981"/>
    <w:rsid w:val="009E75DE"/>
    <w:rsid w:val="00A667CB"/>
    <w:rsid w:val="00A77E6F"/>
    <w:rsid w:val="00AD1951"/>
    <w:rsid w:val="00AD1C7F"/>
    <w:rsid w:val="00B07C8D"/>
    <w:rsid w:val="00B176A5"/>
    <w:rsid w:val="00B64875"/>
    <w:rsid w:val="00B813B1"/>
    <w:rsid w:val="00BA7E14"/>
    <w:rsid w:val="00BF61C5"/>
    <w:rsid w:val="00C2087A"/>
    <w:rsid w:val="00C34B70"/>
    <w:rsid w:val="00CD1C51"/>
    <w:rsid w:val="00CF60C2"/>
    <w:rsid w:val="00D52EF0"/>
    <w:rsid w:val="00D71342"/>
    <w:rsid w:val="00DF79F5"/>
    <w:rsid w:val="00E507EC"/>
    <w:rsid w:val="00E82093"/>
    <w:rsid w:val="00EA0DD4"/>
    <w:rsid w:val="00EA4C3B"/>
    <w:rsid w:val="00F0441D"/>
    <w:rsid w:val="00F0541C"/>
    <w:rsid w:val="00F62A65"/>
    <w:rsid w:val="00F63C66"/>
    <w:rsid w:val="00F82428"/>
    <w:rsid w:val="00FD43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EF202"/>
  <w15:docId w15:val="{B9C3DF3D-1263-43F8-B2B0-09130C9CC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541C"/>
    <w:rPr>
      <w:rFonts w:ascii="Times New Roman" w:eastAsia="Times New Roman" w:hAnsi="Times New Roman" w:cs="Times New Roman"/>
      <w:lang w:val="es-ES"/>
    </w:rPr>
  </w:style>
  <w:style w:type="paragraph" w:styleId="Ttulo1">
    <w:name w:val="heading 1"/>
    <w:basedOn w:val="Normal"/>
    <w:uiPriority w:val="9"/>
    <w:qFormat/>
    <w:pPr>
      <w:ind w:left="853" w:hanging="496"/>
      <w:outlineLvl w:val="0"/>
    </w:pPr>
    <w:rPr>
      <w:i/>
      <w:iCs/>
    </w:rPr>
  </w:style>
  <w:style w:type="paragraph" w:styleId="Ttulo2">
    <w:name w:val="heading 2"/>
    <w:basedOn w:val="Normal"/>
    <w:uiPriority w:val="9"/>
    <w:unhideWhenUsed/>
    <w:qFormat/>
    <w:pPr>
      <w:ind w:left="357"/>
      <w:outlineLvl w:val="1"/>
    </w:pPr>
    <w:rPr>
      <w:b/>
      <w:bCs/>
      <w:sz w:val="18"/>
      <w:szCs w:val="18"/>
    </w:rPr>
  </w:style>
  <w:style w:type="paragraph" w:styleId="Ttulo3">
    <w:name w:val="heading 3"/>
    <w:basedOn w:val="Normal"/>
    <w:link w:val="Ttulo3Car"/>
    <w:uiPriority w:val="9"/>
    <w:unhideWhenUsed/>
    <w:qFormat/>
    <w:pPr>
      <w:outlineLvl w:val="2"/>
    </w:pPr>
    <w:rPr>
      <w:b/>
      <w:bCs/>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18"/>
      <w:szCs w:val="18"/>
    </w:rPr>
  </w:style>
  <w:style w:type="paragraph" w:styleId="Ttulo">
    <w:name w:val="Title"/>
    <w:basedOn w:val="Normal"/>
    <w:uiPriority w:val="10"/>
    <w:qFormat/>
    <w:pPr>
      <w:spacing w:before="76"/>
      <w:ind w:left="360" w:right="716"/>
      <w:jc w:val="center"/>
    </w:pPr>
    <w:rPr>
      <w:rFonts w:ascii="Arial" w:eastAsia="Arial" w:hAnsi="Arial" w:cs="Arial"/>
      <w:b/>
      <w:bCs/>
      <w:sz w:val="36"/>
      <w:szCs w:val="36"/>
    </w:rPr>
  </w:style>
  <w:style w:type="paragraph" w:styleId="Prrafodelista">
    <w:name w:val="List Paragraph"/>
    <w:basedOn w:val="Normal"/>
    <w:uiPriority w:val="1"/>
    <w:qFormat/>
    <w:pPr>
      <w:ind w:left="853" w:hanging="496"/>
    </w:pPr>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A6A51"/>
    <w:rPr>
      <w:color w:val="0000FF" w:themeColor="hyperlink"/>
      <w:u w:val="single"/>
    </w:rPr>
  </w:style>
  <w:style w:type="character" w:customStyle="1" w:styleId="Mencinsinresolver1">
    <w:name w:val="Mención sin resolver1"/>
    <w:basedOn w:val="Fuentedeprrafopredeter"/>
    <w:uiPriority w:val="99"/>
    <w:semiHidden/>
    <w:unhideWhenUsed/>
    <w:rsid w:val="003A6A51"/>
    <w:rPr>
      <w:color w:val="605E5C"/>
      <w:shd w:val="clear" w:color="auto" w:fill="E1DFDD"/>
    </w:rPr>
  </w:style>
  <w:style w:type="table" w:styleId="Tablaconcuadrcula">
    <w:name w:val="Table Grid"/>
    <w:basedOn w:val="Tablanormal"/>
    <w:uiPriority w:val="39"/>
    <w:rsid w:val="003A6A51"/>
    <w:pPr>
      <w:widowControl/>
      <w:autoSpaceDE/>
      <w:autoSpaceDN/>
    </w:pPr>
    <w:rPr>
      <w:kern w:val="2"/>
      <w:lang w:val="es-CO"/>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uentedeprrafopredeter"/>
    <w:rsid w:val="003A6A51"/>
    <w:rPr>
      <w:rFonts w:ascii="Consolas" w:hAnsi="Consolas" w:hint="default"/>
      <w:color w:val="FFFFFF"/>
      <w:sz w:val="22"/>
      <w:szCs w:val="22"/>
    </w:rPr>
  </w:style>
  <w:style w:type="paragraph" w:styleId="Descripcin">
    <w:name w:val="caption"/>
    <w:basedOn w:val="Normal"/>
    <w:next w:val="Normal"/>
    <w:uiPriority w:val="35"/>
    <w:unhideWhenUsed/>
    <w:qFormat/>
    <w:rsid w:val="003A6A51"/>
    <w:pPr>
      <w:widowControl/>
      <w:autoSpaceDE/>
      <w:autoSpaceDN/>
      <w:spacing w:after="200"/>
      <w:ind w:firstLine="720"/>
      <w:jc w:val="both"/>
    </w:pPr>
    <w:rPr>
      <w:rFonts w:eastAsiaTheme="minorHAnsi" w:cstheme="minorBidi"/>
      <w:i/>
      <w:iCs/>
      <w:color w:val="1F497D" w:themeColor="text2"/>
      <w:kern w:val="2"/>
      <w:sz w:val="18"/>
      <w:szCs w:val="18"/>
      <w:lang w:val="es-CO"/>
      <w14:ligatures w14:val="standardContextual"/>
    </w:rPr>
  </w:style>
  <w:style w:type="paragraph" w:styleId="Encabezado">
    <w:name w:val="header"/>
    <w:basedOn w:val="Normal"/>
    <w:link w:val="EncabezadoCar"/>
    <w:uiPriority w:val="99"/>
    <w:unhideWhenUsed/>
    <w:rsid w:val="000B794D"/>
    <w:pPr>
      <w:tabs>
        <w:tab w:val="center" w:pos="4419"/>
        <w:tab w:val="right" w:pos="8838"/>
      </w:tabs>
    </w:pPr>
  </w:style>
  <w:style w:type="character" w:customStyle="1" w:styleId="EncabezadoCar">
    <w:name w:val="Encabezado Car"/>
    <w:basedOn w:val="Fuentedeprrafopredeter"/>
    <w:link w:val="Encabezado"/>
    <w:uiPriority w:val="99"/>
    <w:rsid w:val="000B794D"/>
    <w:rPr>
      <w:rFonts w:ascii="Times New Roman" w:eastAsia="Times New Roman" w:hAnsi="Times New Roman" w:cs="Times New Roman"/>
      <w:lang w:val="es-ES"/>
    </w:rPr>
  </w:style>
  <w:style w:type="paragraph" w:styleId="Piedepgina">
    <w:name w:val="footer"/>
    <w:basedOn w:val="Normal"/>
    <w:link w:val="PiedepginaCar"/>
    <w:uiPriority w:val="99"/>
    <w:unhideWhenUsed/>
    <w:rsid w:val="000B794D"/>
    <w:pPr>
      <w:tabs>
        <w:tab w:val="center" w:pos="4419"/>
        <w:tab w:val="right" w:pos="8838"/>
      </w:tabs>
    </w:pPr>
  </w:style>
  <w:style w:type="character" w:customStyle="1" w:styleId="PiedepginaCar">
    <w:name w:val="Pie de página Car"/>
    <w:basedOn w:val="Fuentedeprrafopredeter"/>
    <w:link w:val="Piedepgina"/>
    <w:uiPriority w:val="99"/>
    <w:rsid w:val="000B794D"/>
    <w:rPr>
      <w:rFonts w:ascii="Times New Roman" w:eastAsia="Times New Roman" w:hAnsi="Times New Roman" w:cs="Times New Roman"/>
      <w:lang w:val="es-ES"/>
    </w:rPr>
  </w:style>
  <w:style w:type="paragraph" w:styleId="Textodeglobo">
    <w:name w:val="Balloon Text"/>
    <w:basedOn w:val="Normal"/>
    <w:link w:val="TextodegloboCar"/>
    <w:uiPriority w:val="99"/>
    <w:semiHidden/>
    <w:unhideWhenUsed/>
    <w:rsid w:val="004D0644"/>
    <w:rPr>
      <w:rFonts w:ascii="Tahoma" w:hAnsi="Tahoma" w:cs="Tahoma"/>
      <w:sz w:val="16"/>
      <w:szCs w:val="16"/>
    </w:rPr>
  </w:style>
  <w:style w:type="character" w:customStyle="1" w:styleId="TextodegloboCar">
    <w:name w:val="Texto de globo Car"/>
    <w:basedOn w:val="Fuentedeprrafopredeter"/>
    <w:link w:val="Textodeglobo"/>
    <w:uiPriority w:val="99"/>
    <w:semiHidden/>
    <w:rsid w:val="004D0644"/>
    <w:rPr>
      <w:rFonts w:ascii="Tahoma" w:eastAsia="Times New Roman" w:hAnsi="Tahoma" w:cs="Tahoma"/>
      <w:sz w:val="16"/>
      <w:szCs w:val="16"/>
      <w:lang w:val="es-ES"/>
    </w:rPr>
  </w:style>
  <w:style w:type="character" w:customStyle="1" w:styleId="Ttulo3Car">
    <w:name w:val="Título 3 Car"/>
    <w:basedOn w:val="Fuentedeprrafopredeter"/>
    <w:link w:val="Ttulo3"/>
    <w:uiPriority w:val="9"/>
    <w:rsid w:val="00F0541C"/>
    <w:rPr>
      <w:rFonts w:ascii="Times New Roman" w:eastAsia="Times New Roman" w:hAnsi="Times New Roman" w:cs="Times New Roman"/>
      <w:b/>
      <w:bCs/>
      <w:sz w:val="18"/>
      <w:szCs w:val="18"/>
      <w:lang w:val="es-ES"/>
    </w:rPr>
  </w:style>
  <w:style w:type="character" w:customStyle="1" w:styleId="TextoindependienteCar">
    <w:name w:val="Texto independiente Car"/>
    <w:basedOn w:val="Fuentedeprrafopredeter"/>
    <w:link w:val="Textoindependiente"/>
    <w:uiPriority w:val="1"/>
    <w:rsid w:val="00F0541C"/>
    <w:rPr>
      <w:rFonts w:ascii="Times New Roman" w:eastAsia="Times New Roman" w:hAnsi="Times New Roman" w:cs="Times New Roman"/>
      <w:sz w:val="18"/>
      <w:szCs w:val="18"/>
      <w:lang w:val="es-ES"/>
    </w:rPr>
  </w:style>
  <w:style w:type="character" w:styleId="Mencinsinresolver">
    <w:name w:val="Unresolved Mention"/>
    <w:basedOn w:val="Fuentedeprrafopredeter"/>
    <w:uiPriority w:val="99"/>
    <w:semiHidden/>
    <w:unhideWhenUsed/>
    <w:rsid w:val="00F824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hart" Target="charts/chart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chart" Target="charts/chart4.xml"/><Relationship Id="rId10" Type="http://schemas.openxmlformats.org/officeDocument/2006/relationships/hyperlink" Target="mailto:sergio2210263@correo.uis.edu.c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lesly2183101@correo.uis.edu.co" TargetMode="Externa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oleObject" Target="https://d.docs.live.net/8d5fc7ad9d891350/Desktop/TRABAJO%20DE%20GRADO/3.%20CORRECCION%20PLAN/4.%20GRAFICAS/SCOPUS/SCOPUS%20GRAFICA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https://d.docs.live.net/8d5fc7ad9d891350/Desktop/TRABAJO%20DE%20GRADO/3.%20CORRECCION%20PLAN/4.%20GRAFICAS/WoS/WoS%20GRAFICAS.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https://d.docs.live.net/8d5fc7ad9d891350/Desktop/TRABAJO%20DE%20GRADO/3.%20CORRECCION%20PLAN/4.%20GRAFICAS/SCOPUS/SCOPUS%20GRAFICAS.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https://d.docs.live.net/8d5fc7ad9d891350/Desktop/TRABAJO%20DE%20GRADO/3.%20CORRECCION%20PLAN/4.%20GRAFICAS/WoS/WoS%20GRAFICA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barChart>
        <c:barDir val="col"/>
        <c:grouping val="clustered"/>
        <c:varyColors val="0"/>
        <c:ser>
          <c:idx val="0"/>
          <c:order val="0"/>
          <c:tx>
            <c:strRef>
              <c:f>'[SCOPUS GRAFICAS.xlsx]PAÍS'!$C$2</c:f>
              <c:strCache>
                <c:ptCount val="1"/>
                <c:pt idx="0">
                  <c:v>Cantidad de publicaciones</c:v>
                </c:pt>
              </c:strCache>
            </c:strRef>
          </c:tx>
          <c:spPr>
            <a:solidFill>
              <a:schemeClr val="dk1">
                <a:tint val="88500"/>
              </a:schemeClr>
            </a:solidFill>
            <a:ln>
              <a:noFill/>
            </a:ln>
            <a:effectLst/>
          </c:spPr>
          <c:invertIfNegative val="0"/>
          <c:dLbls>
            <c:spPr>
              <a:noFill/>
              <a:ln>
                <a:noFill/>
              </a:ln>
              <a:effectLst/>
            </c:spPr>
            <c:txPr>
              <a:bodyPr rot="0" vert="horz"/>
              <a:lstStyle/>
              <a:p>
                <a:pPr>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'[SCOPUS GRAFICAS.xlsx]PAÍS'!$B$3:$B$13</c:f>
              <c:strCache>
                <c:ptCount val="11"/>
                <c:pt idx="0">
                  <c:v>China</c:v>
                </c:pt>
                <c:pt idx="1">
                  <c:v>Malasia</c:v>
                </c:pt>
                <c:pt idx="2">
                  <c:v>India</c:v>
                </c:pt>
                <c:pt idx="3">
                  <c:v>Indonesia</c:v>
                </c:pt>
                <c:pt idx="4">
                  <c:v>Pakistán</c:v>
                </c:pt>
                <c:pt idx="5">
                  <c:v>Francia</c:v>
                </c:pt>
                <c:pt idx="6">
                  <c:v>Bangladesh</c:v>
                </c:pt>
                <c:pt idx="7">
                  <c:v>Arabia Saudita</c:v>
                </c:pt>
                <c:pt idx="8">
                  <c:v>Estados Unidos</c:v>
                </c:pt>
                <c:pt idx="9">
                  <c:v>Sudáfrica</c:v>
                </c:pt>
                <c:pt idx="10">
                  <c:v>Vietnam</c:v>
                </c:pt>
              </c:strCache>
            </c:strRef>
          </c:cat>
          <c:val>
            <c:numRef>
              <c:f>'[SCOPUS GRAFICAS.xlsx]PAÍS'!$C$3:$C$13</c:f>
              <c:numCache>
                <c:formatCode>General</c:formatCode>
                <c:ptCount val="11"/>
                <c:pt idx="0">
                  <c:v>16</c:v>
                </c:pt>
                <c:pt idx="1">
                  <c:v>14</c:v>
                </c:pt>
                <c:pt idx="2">
                  <c:v>11</c:v>
                </c:pt>
                <c:pt idx="3">
                  <c:v>8</c:v>
                </c:pt>
                <c:pt idx="4">
                  <c:v>7</c:v>
                </c:pt>
                <c:pt idx="5">
                  <c:v>5</c:v>
                </c:pt>
                <c:pt idx="6">
                  <c:v>5</c:v>
                </c:pt>
                <c:pt idx="7">
                  <c:v>4</c:v>
                </c:pt>
                <c:pt idx="8">
                  <c:v>4</c:v>
                </c:pt>
                <c:pt idx="9">
                  <c:v>4</c:v>
                </c:pt>
                <c:pt idx="10">
                  <c:v>4</c:v>
                </c:pt>
              </c:numCache>
            </c:numRef>
          </c:val>
          <c:extLst>
            <c:ext xmlns:c16="http://schemas.microsoft.com/office/drawing/2014/chart" uri="{C3380CC4-5D6E-409C-BE32-E72D297353CC}">
              <c16:uniqueId val="{00000000-BE88-9F4D-B2EF-739461BDAE33}"/>
            </c:ext>
          </c:extLst>
        </c:ser>
        <c:dLbls>
          <c:dLblPos val="outEnd"/>
          <c:showLegendKey val="0"/>
          <c:showVal val="1"/>
          <c:showCatName val="0"/>
          <c:showSerName val="0"/>
          <c:showPercent val="0"/>
          <c:showBubbleSize val="0"/>
        </c:dLbls>
        <c:gapWidth val="219"/>
        <c:overlap val="-27"/>
        <c:axId val="89691648"/>
        <c:axId val="160440320"/>
      </c:barChart>
      <c:catAx>
        <c:axId val="896916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es-CO"/>
          </a:p>
        </c:txPr>
        <c:crossAx val="160440320"/>
        <c:crosses val="autoZero"/>
        <c:auto val="1"/>
        <c:lblAlgn val="ctr"/>
        <c:lblOffset val="100"/>
        <c:noMultiLvlLbl val="0"/>
      </c:catAx>
      <c:valAx>
        <c:axId val="1604403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vert="horz"/>
          <a:lstStyle/>
          <a:p>
            <a:pPr>
              <a:defRPr/>
            </a:pPr>
            <a:endParaRPr lang="es-CO"/>
          </a:p>
        </c:txPr>
        <c:crossAx val="8969164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latin typeface="Times New Roman" panose="02020603050405020304" pitchFamily="18" charset="0"/>
          <a:cs typeface="Times New Roman" panose="02020603050405020304" pitchFamily="18" charset="0"/>
        </a:defRPr>
      </a:pPr>
      <a:endParaRPr lang="es-CO"/>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barChart>
        <c:barDir val="col"/>
        <c:grouping val="clustered"/>
        <c:varyColors val="0"/>
        <c:ser>
          <c:idx val="0"/>
          <c:order val="0"/>
          <c:tx>
            <c:strRef>
              <c:f>'[WoS GRAFICAS.xlsx]PAÍS'!$C$2</c:f>
              <c:strCache>
                <c:ptCount val="1"/>
                <c:pt idx="0">
                  <c:v>Cantidad de publicaciones</c:v>
                </c:pt>
              </c:strCache>
            </c:strRef>
          </c:tx>
          <c:spPr>
            <a:solidFill>
              <a:schemeClr val="dk1">
                <a:tint val="88500"/>
              </a:schemeClr>
            </a:solidFill>
            <a:ln>
              <a:noFill/>
            </a:ln>
            <a:effectLst/>
          </c:spPr>
          <c:invertIfNegative val="0"/>
          <c:dLbls>
            <c:spPr>
              <a:noFill/>
              <a:ln>
                <a:noFill/>
              </a:ln>
              <a:effectLst/>
            </c:spPr>
            <c:txPr>
              <a:bodyPr rot="0" vert="horz"/>
              <a:lstStyle/>
              <a:p>
                <a:pPr>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'[WoS GRAFICAS.xlsx]PAÍS'!$B$3:$B$12</c:f>
              <c:strCache>
                <c:ptCount val="10"/>
                <c:pt idx="0">
                  <c:v>Peoples R China</c:v>
                </c:pt>
                <c:pt idx="1">
                  <c:v>Pakistan</c:v>
                </c:pt>
                <c:pt idx="2">
                  <c:v>Malasia</c:v>
                </c:pt>
                <c:pt idx="3">
                  <c:v>India</c:v>
                </c:pt>
                <c:pt idx="4">
                  <c:v>Arabia Saudita</c:v>
                </c:pt>
                <c:pt idx="5">
                  <c:v>Inglaterra</c:v>
                </c:pt>
                <c:pt idx="6">
                  <c:v>Indonesia</c:v>
                </c:pt>
                <c:pt idx="7">
                  <c:v>Italia</c:v>
                </c:pt>
                <c:pt idx="8">
                  <c:v>Turquía</c:v>
                </c:pt>
                <c:pt idx="9">
                  <c:v>Estados Unidos</c:v>
                </c:pt>
              </c:strCache>
            </c:strRef>
          </c:cat>
          <c:val>
            <c:numRef>
              <c:f>'[WoS GRAFICAS.xlsx]PAÍS'!$C$3:$C$12</c:f>
              <c:numCache>
                <c:formatCode>General</c:formatCode>
                <c:ptCount val="10"/>
                <c:pt idx="0">
                  <c:v>34</c:v>
                </c:pt>
                <c:pt idx="1">
                  <c:v>13</c:v>
                </c:pt>
                <c:pt idx="2">
                  <c:v>12</c:v>
                </c:pt>
                <c:pt idx="3">
                  <c:v>11</c:v>
                </c:pt>
                <c:pt idx="4">
                  <c:v>8</c:v>
                </c:pt>
                <c:pt idx="5">
                  <c:v>7</c:v>
                </c:pt>
                <c:pt idx="6">
                  <c:v>7</c:v>
                </c:pt>
                <c:pt idx="7">
                  <c:v>7</c:v>
                </c:pt>
                <c:pt idx="8">
                  <c:v>7</c:v>
                </c:pt>
                <c:pt idx="9">
                  <c:v>7</c:v>
                </c:pt>
              </c:numCache>
            </c:numRef>
          </c:val>
          <c:extLst>
            <c:ext xmlns:c16="http://schemas.microsoft.com/office/drawing/2014/chart" uri="{C3380CC4-5D6E-409C-BE32-E72D297353CC}">
              <c16:uniqueId val="{00000000-A35F-0944-9AE4-6B799EBE940D}"/>
            </c:ext>
          </c:extLst>
        </c:ser>
        <c:dLbls>
          <c:dLblPos val="outEnd"/>
          <c:showLegendKey val="0"/>
          <c:showVal val="1"/>
          <c:showCatName val="0"/>
          <c:showSerName val="0"/>
          <c:showPercent val="0"/>
          <c:showBubbleSize val="0"/>
        </c:dLbls>
        <c:gapWidth val="219"/>
        <c:overlap val="-27"/>
        <c:axId val="81995264"/>
        <c:axId val="82035072"/>
      </c:barChart>
      <c:catAx>
        <c:axId val="819952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es-CO"/>
          </a:p>
        </c:txPr>
        <c:crossAx val="82035072"/>
        <c:crosses val="autoZero"/>
        <c:auto val="1"/>
        <c:lblAlgn val="ctr"/>
        <c:lblOffset val="100"/>
        <c:noMultiLvlLbl val="0"/>
      </c:catAx>
      <c:valAx>
        <c:axId val="820350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vert="horz"/>
          <a:lstStyle/>
          <a:p>
            <a:pPr>
              <a:defRPr/>
            </a:pPr>
            <a:endParaRPr lang="es-CO"/>
          </a:p>
        </c:txPr>
        <c:crossAx val="8199526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latin typeface="Times New Roman" panose="02020603050405020304" pitchFamily="18" charset="0"/>
          <a:cs typeface="Times New Roman" panose="02020603050405020304" pitchFamily="18" charset="0"/>
        </a:defRPr>
      </a:pPr>
      <a:endParaRPr lang="es-CO"/>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barChart>
        <c:barDir val="col"/>
        <c:grouping val="clustered"/>
        <c:varyColors val="0"/>
        <c:ser>
          <c:idx val="0"/>
          <c:order val="0"/>
          <c:tx>
            <c:strRef>
              <c:f>'[SCOPUS GRAFICAS.xlsx]AÑO'!$C$2</c:f>
              <c:strCache>
                <c:ptCount val="1"/>
                <c:pt idx="0">
                  <c:v>Cantidad de publicaciones</c:v>
                </c:pt>
              </c:strCache>
            </c:strRef>
          </c:tx>
          <c:spPr>
            <a:solidFill>
              <a:schemeClr val="dk1">
                <a:tint val="88500"/>
              </a:schemeClr>
            </a:solidFill>
            <a:ln>
              <a:noFill/>
            </a:ln>
            <a:effectLst/>
          </c:spPr>
          <c:invertIfNegative val="0"/>
          <c:dLbls>
            <c:spPr>
              <a:noFill/>
              <a:ln>
                <a:noFill/>
              </a:ln>
              <a:effectLst/>
            </c:spPr>
            <c:txPr>
              <a:bodyPr rot="0" vert="horz"/>
              <a:lstStyle/>
              <a:p>
                <a:pPr>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'[SCOPUS GRAFICAS.xlsx]AÑO'!$B$3:$B$7</c:f>
              <c:numCache>
                <c:formatCode>General</c:formatCode>
                <c:ptCount val="5"/>
                <c:pt idx="0">
                  <c:v>2021</c:v>
                </c:pt>
                <c:pt idx="1">
                  <c:v>2022</c:v>
                </c:pt>
                <c:pt idx="2">
                  <c:v>2023</c:v>
                </c:pt>
                <c:pt idx="3">
                  <c:v>2024</c:v>
                </c:pt>
                <c:pt idx="4">
                  <c:v>2025</c:v>
                </c:pt>
              </c:numCache>
            </c:numRef>
          </c:cat>
          <c:val>
            <c:numRef>
              <c:f>'[SCOPUS GRAFICAS.xlsx]AÑO'!$C$3:$C$7</c:f>
              <c:numCache>
                <c:formatCode>General</c:formatCode>
                <c:ptCount val="5"/>
                <c:pt idx="0">
                  <c:v>7</c:v>
                </c:pt>
                <c:pt idx="1">
                  <c:v>13</c:v>
                </c:pt>
                <c:pt idx="2">
                  <c:v>18</c:v>
                </c:pt>
                <c:pt idx="3">
                  <c:v>20</c:v>
                </c:pt>
                <c:pt idx="4">
                  <c:v>30</c:v>
                </c:pt>
              </c:numCache>
            </c:numRef>
          </c:val>
          <c:extLst>
            <c:ext xmlns:c16="http://schemas.microsoft.com/office/drawing/2014/chart" uri="{C3380CC4-5D6E-409C-BE32-E72D297353CC}">
              <c16:uniqueId val="{00000000-0B50-5247-A39F-E859000D2F25}"/>
            </c:ext>
          </c:extLst>
        </c:ser>
        <c:dLbls>
          <c:showLegendKey val="0"/>
          <c:showVal val="0"/>
          <c:showCatName val="0"/>
          <c:showSerName val="0"/>
          <c:showPercent val="0"/>
          <c:showBubbleSize val="0"/>
        </c:dLbls>
        <c:gapWidth val="219"/>
        <c:axId val="85358080"/>
        <c:axId val="85359616"/>
      </c:barChart>
      <c:lineChart>
        <c:grouping val="standard"/>
        <c:varyColors val="0"/>
        <c:ser>
          <c:idx val="1"/>
          <c:order val="1"/>
          <c:tx>
            <c:strRef>
              <c:f>'[SCOPUS GRAFICAS.xlsx]AÑO'!$D$2</c:f>
              <c:strCache>
                <c:ptCount val="1"/>
                <c:pt idx="0">
                  <c:v>Acumulado</c:v>
                </c:pt>
              </c:strCache>
            </c:strRef>
          </c:tx>
          <c:spPr>
            <a:ln w="28575" cap="rnd">
              <a:solidFill>
                <a:schemeClr val="dk1">
                  <a:tint val="55000"/>
                </a:schemeClr>
              </a:solidFill>
              <a:round/>
            </a:ln>
            <a:effectLst/>
          </c:spPr>
          <c:marker>
            <c:symbol val="none"/>
          </c:marker>
          <c:dLbls>
            <c:dLbl>
              <c:idx val="0"/>
              <c:delete val="1"/>
              <c:extLst>
                <c:ext xmlns:c15="http://schemas.microsoft.com/office/drawing/2012/chart" uri="{CE6537A1-D6FC-4f65-9D91-7224C49458BB}"/>
                <c:ext xmlns:c16="http://schemas.microsoft.com/office/drawing/2014/chart" uri="{C3380CC4-5D6E-409C-BE32-E72D297353CC}">
                  <c16:uniqueId val="{00000001-0B50-5247-A39F-E859000D2F25}"/>
                </c:ext>
              </c:extLst>
            </c:dLbl>
            <c:dLbl>
              <c:idx val="1"/>
              <c:delete val="1"/>
              <c:extLst>
                <c:ext xmlns:c15="http://schemas.microsoft.com/office/drawing/2012/chart" uri="{CE6537A1-D6FC-4f65-9D91-7224C49458BB}"/>
                <c:ext xmlns:c16="http://schemas.microsoft.com/office/drawing/2014/chart" uri="{C3380CC4-5D6E-409C-BE32-E72D297353CC}">
                  <c16:uniqueId val="{00000002-0B50-5247-A39F-E859000D2F25}"/>
                </c:ext>
              </c:extLst>
            </c:dLbl>
            <c:dLbl>
              <c:idx val="2"/>
              <c:delete val="1"/>
              <c:extLst>
                <c:ext xmlns:c15="http://schemas.microsoft.com/office/drawing/2012/chart" uri="{CE6537A1-D6FC-4f65-9D91-7224C49458BB}"/>
                <c:ext xmlns:c16="http://schemas.microsoft.com/office/drawing/2014/chart" uri="{C3380CC4-5D6E-409C-BE32-E72D297353CC}">
                  <c16:uniqueId val="{00000003-0B50-5247-A39F-E859000D2F25}"/>
                </c:ext>
              </c:extLst>
            </c:dLbl>
            <c:dLbl>
              <c:idx val="3"/>
              <c:delete val="1"/>
              <c:extLst>
                <c:ext xmlns:c15="http://schemas.microsoft.com/office/drawing/2012/chart" uri="{CE6537A1-D6FC-4f65-9D91-7224C49458BB}"/>
                <c:ext xmlns:c16="http://schemas.microsoft.com/office/drawing/2014/chart" uri="{C3380CC4-5D6E-409C-BE32-E72D297353CC}">
                  <c16:uniqueId val="{00000004-0B50-5247-A39F-E859000D2F25}"/>
                </c:ext>
              </c:extLst>
            </c:dLbl>
            <c:dLbl>
              <c:idx val="4"/>
              <c:layout>
                <c:manualLayout>
                  <c:x val="1.8973771708827122E-2"/>
                  <c:y val="-8.053409724851681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0B50-5247-A39F-E859000D2F25}"/>
                </c:ext>
              </c:extLst>
            </c:dLbl>
            <c:spPr>
              <a:noFill/>
              <a:ln>
                <a:noFill/>
              </a:ln>
              <a:effectLst/>
            </c:spPr>
            <c:txPr>
              <a:bodyPr rot="0" vert="horz"/>
              <a:lstStyle/>
              <a:p>
                <a:pPr>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'[SCOPUS GRAFICAS.xlsx]AÑO'!$D$3:$D$7</c:f>
              <c:numCache>
                <c:formatCode>General</c:formatCode>
                <c:ptCount val="5"/>
                <c:pt idx="0">
                  <c:v>7</c:v>
                </c:pt>
                <c:pt idx="1">
                  <c:v>20</c:v>
                </c:pt>
                <c:pt idx="2">
                  <c:v>38</c:v>
                </c:pt>
                <c:pt idx="3">
                  <c:v>58</c:v>
                </c:pt>
                <c:pt idx="4">
                  <c:v>88</c:v>
                </c:pt>
              </c:numCache>
            </c:numRef>
          </c:val>
          <c:smooth val="0"/>
          <c:extLst>
            <c:ext xmlns:c16="http://schemas.microsoft.com/office/drawing/2014/chart" uri="{C3380CC4-5D6E-409C-BE32-E72D297353CC}">
              <c16:uniqueId val="{00000006-0B50-5247-A39F-E859000D2F25}"/>
            </c:ext>
          </c:extLst>
        </c:ser>
        <c:dLbls>
          <c:showLegendKey val="0"/>
          <c:showVal val="0"/>
          <c:showCatName val="0"/>
          <c:showSerName val="0"/>
          <c:showPercent val="0"/>
          <c:showBubbleSize val="0"/>
        </c:dLbls>
        <c:marker val="1"/>
        <c:smooth val="0"/>
        <c:axId val="85383424"/>
        <c:axId val="85381888"/>
      </c:lineChart>
      <c:catAx>
        <c:axId val="853580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es-CO"/>
          </a:p>
        </c:txPr>
        <c:crossAx val="85359616"/>
        <c:crosses val="autoZero"/>
        <c:auto val="1"/>
        <c:lblAlgn val="ctr"/>
        <c:lblOffset val="100"/>
        <c:noMultiLvlLbl val="0"/>
      </c:catAx>
      <c:valAx>
        <c:axId val="853596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vert="horz"/>
          <a:lstStyle/>
          <a:p>
            <a:pPr>
              <a:defRPr/>
            </a:pPr>
            <a:endParaRPr lang="es-CO"/>
          </a:p>
        </c:txPr>
        <c:crossAx val="85358080"/>
        <c:crosses val="autoZero"/>
        <c:crossBetween val="between"/>
      </c:valAx>
      <c:valAx>
        <c:axId val="85381888"/>
        <c:scaling>
          <c:orientation val="minMax"/>
        </c:scaling>
        <c:delete val="0"/>
        <c:axPos val="r"/>
        <c:numFmt formatCode="General" sourceLinked="1"/>
        <c:majorTickMark val="out"/>
        <c:minorTickMark val="none"/>
        <c:tickLblPos val="nextTo"/>
        <c:spPr>
          <a:noFill/>
          <a:ln>
            <a:noFill/>
          </a:ln>
          <a:effectLst/>
        </c:spPr>
        <c:txPr>
          <a:bodyPr rot="-60000000" vert="horz"/>
          <a:lstStyle/>
          <a:p>
            <a:pPr>
              <a:defRPr/>
            </a:pPr>
            <a:endParaRPr lang="es-CO"/>
          </a:p>
        </c:txPr>
        <c:crossAx val="85383424"/>
        <c:crosses val="max"/>
        <c:crossBetween val="between"/>
      </c:valAx>
      <c:catAx>
        <c:axId val="85383424"/>
        <c:scaling>
          <c:orientation val="minMax"/>
        </c:scaling>
        <c:delete val="1"/>
        <c:axPos val="b"/>
        <c:majorTickMark val="out"/>
        <c:minorTickMark val="none"/>
        <c:tickLblPos val="nextTo"/>
        <c:crossAx val="85381888"/>
        <c:crosses val="autoZero"/>
        <c:auto val="1"/>
        <c:lblAlgn val="ctr"/>
        <c:lblOffset val="100"/>
        <c:noMultiLvlLbl val="0"/>
      </c:cat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latin typeface="Times New Roman" panose="02020603050405020304" pitchFamily="18" charset="0"/>
          <a:cs typeface="Times New Roman" panose="02020603050405020304" pitchFamily="18" charset="0"/>
        </a:defRPr>
      </a:pPr>
      <a:endParaRPr lang="es-CO"/>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barChart>
        <c:barDir val="col"/>
        <c:grouping val="clustered"/>
        <c:varyColors val="0"/>
        <c:ser>
          <c:idx val="0"/>
          <c:order val="0"/>
          <c:tx>
            <c:strRef>
              <c:f>'[WoS GRAFICAS.xlsx]AÑO'!$C$2</c:f>
              <c:strCache>
                <c:ptCount val="1"/>
                <c:pt idx="0">
                  <c:v>Cantidad de publicaciones</c:v>
                </c:pt>
              </c:strCache>
            </c:strRef>
          </c:tx>
          <c:spPr>
            <a:solidFill>
              <a:schemeClr val="dk1">
                <a:tint val="88500"/>
              </a:schemeClr>
            </a:solidFill>
            <a:ln>
              <a:noFill/>
            </a:ln>
            <a:effectLst/>
          </c:spPr>
          <c:invertIfNegative val="0"/>
          <c:dLbls>
            <c:spPr>
              <a:noFill/>
              <a:ln>
                <a:noFill/>
              </a:ln>
              <a:effectLst/>
            </c:spPr>
            <c:txPr>
              <a:bodyPr rot="0" vert="horz"/>
              <a:lstStyle/>
              <a:p>
                <a:pPr>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'https://d.docs.live.net/8d5fc7ad9d891350/Desktop/TRABAJO DE GRADO/3. CORRECCION PLAN/4. GRAFICAS/SCOPUS/[SCOPUS GRAFICAS.xlsx]AÑO'!$B$3:$B$7</c:f>
              <c:numCache>
                <c:formatCode>General</c:formatCode>
                <c:ptCount val="5"/>
                <c:pt idx="0">
                  <c:v>2021</c:v>
                </c:pt>
                <c:pt idx="1">
                  <c:v>2022</c:v>
                </c:pt>
                <c:pt idx="2">
                  <c:v>2023</c:v>
                </c:pt>
                <c:pt idx="3">
                  <c:v>2024</c:v>
                </c:pt>
                <c:pt idx="4">
                  <c:v>2025</c:v>
                </c:pt>
              </c:numCache>
            </c:numRef>
          </c:cat>
          <c:val>
            <c:numRef>
              <c:f>'[WoS GRAFICAS.xlsx]AÑO'!$C$3:$C$7</c:f>
              <c:numCache>
                <c:formatCode>General</c:formatCode>
                <c:ptCount val="5"/>
                <c:pt idx="0">
                  <c:v>14</c:v>
                </c:pt>
                <c:pt idx="1">
                  <c:v>18</c:v>
                </c:pt>
                <c:pt idx="2">
                  <c:v>24</c:v>
                </c:pt>
                <c:pt idx="3">
                  <c:v>36</c:v>
                </c:pt>
                <c:pt idx="4">
                  <c:v>31</c:v>
                </c:pt>
              </c:numCache>
            </c:numRef>
          </c:val>
          <c:extLst>
            <c:ext xmlns:c16="http://schemas.microsoft.com/office/drawing/2014/chart" uri="{C3380CC4-5D6E-409C-BE32-E72D297353CC}">
              <c16:uniqueId val="{00000000-847C-6E45-9DCE-E85C4517EE8D}"/>
            </c:ext>
          </c:extLst>
        </c:ser>
        <c:dLbls>
          <c:showLegendKey val="0"/>
          <c:showVal val="0"/>
          <c:showCatName val="0"/>
          <c:showSerName val="0"/>
          <c:showPercent val="0"/>
          <c:showBubbleSize val="0"/>
        </c:dLbls>
        <c:gapWidth val="219"/>
        <c:axId val="89701760"/>
        <c:axId val="90047616"/>
      </c:barChart>
      <c:lineChart>
        <c:grouping val="standard"/>
        <c:varyColors val="0"/>
        <c:ser>
          <c:idx val="1"/>
          <c:order val="1"/>
          <c:tx>
            <c:strRef>
              <c:f>'[WoS GRAFICAS.xlsx]AÑO'!$D$2</c:f>
              <c:strCache>
                <c:ptCount val="1"/>
                <c:pt idx="0">
                  <c:v>Acumulado</c:v>
                </c:pt>
              </c:strCache>
            </c:strRef>
          </c:tx>
          <c:spPr>
            <a:ln w="28575" cap="rnd">
              <a:solidFill>
                <a:schemeClr val="dk1">
                  <a:tint val="55000"/>
                </a:schemeClr>
              </a:solidFill>
              <a:round/>
            </a:ln>
            <a:effectLst/>
          </c:spPr>
          <c:marker>
            <c:symbol val="none"/>
          </c:marker>
          <c:dLbls>
            <c:dLbl>
              <c:idx val="0"/>
              <c:delete val="1"/>
              <c:extLst>
                <c:ext xmlns:c15="http://schemas.microsoft.com/office/drawing/2012/chart" uri="{CE6537A1-D6FC-4f65-9D91-7224C49458BB}"/>
                <c:ext xmlns:c16="http://schemas.microsoft.com/office/drawing/2014/chart" uri="{C3380CC4-5D6E-409C-BE32-E72D297353CC}">
                  <c16:uniqueId val="{00000001-847C-6E45-9DCE-E85C4517EE8D}"/>
                </c:ext>
              </c:extLst>
            </c:dLbl>
            <c:dLbl>
              <c:idx val="1"/>
              <c:delete val="1"/>
              <c:extLst>
                <c:ext xmlns:c15="http://schemas.microsoft.com/office/drawing/2012/chart" uri="{CE6537A1-D6FC-4f65-9D91-7224C49458BB}"/>
                <c:ext xmlns:c16="http://schemas.microsoft.com/office/drawing/2014/chart" uri="{C3380CC4-5D6E-409C-BE32-E72D297353CC}">
                  <c16:uniqueId val="{00000002-847C-6E45-9DCE-E85C4517EE8D}"/>
                </c:ext>
              </c:extLst>
            </c:dLbl>
            <c:dLbl>
              <c:idx val="2"/>
              <c:delete val="1"/>
              <c:extLst>
                <c:ext xmlns:c15="http://schemas.microsoft.com/office/drawing/2012/chart" uri="{CE6537A1-D6FC-4f65-9D91-7224C49458BB}"/>
                <c:ext xmlns:c16="http://schemas.microsoft.com/office/drawing/2014/chart" uri="{C3380CC4-5D6E-409C-BE32-E72D297353CC}">
                  <c16:uniqueId val="{00000003-847C-6E45-9DCE-E85C4517EE8D}"/>
                </c:ext>
              </c:extLst>
            </c:dLbl>
            <c:dLbl>
              <c:idx val="3"/>
              <c:delete val="1"/>
              <c:extLst>
                <c:ext xmlns:c15="http://schemas.microsoft.com/office/drawing/2012/chart" uri="{CE6537A1-D6FC-4f65-9D91-7224C49458BB}"/>
                <c:ext xmlns:c16="http://schemas.microsoft.com/office/drawing/2014/chart" uri="{C3380CC4-5D6E-409C-BE32-E72D297353CC}">
                  <c16:uniqueId val="{00000004-847C-6E45-9DCE-E85C4517EE8D}"/>
                </c:ext>
              </c:extLst>
            </c:dLbl>
            <c:dLbl>
              <c:idx val="4"/>
              <c:layout>
                <c:manualLayout>
                  <c:x val="1.8973771708827122E-2"/>
                  <c:y val="-8.053409724851681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847C-6E45-9DCE-E85C4517EE8D}"/>
                </c:ext>
              </c:extLst>
            </c:dLbl>
            <c:spPr>
              <a:noFill/>
              <a:ln>
                <a:noFill/>
              </a:ln>
              <a:effectLst/>
            </c:spPr>
            <c:txPr>
              <a:bodyPr rot="0" vert="horz"/>
              <a:lstStyle/>
              <a:p>
                <a:pPr>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'[WoS GRAFICAS.xlsx]AÑO'!$D$3:$D$7</c:f>
              <c:numCache>
                <c:formatCode>General</c:formatCode>
                <c:ptCount val="5"/>
                <c:pt idx="0">
                  <c:v>14</c:v>
                </c:pt>
                <c:pt idx="1">
                  <c:v>32</c:v>
                </c:pt>
                <c:pt idx="2">
                  <c:v>56</c:v>
                </c:pt>
                <c:pt idx="3">
                  <c:v>92</c:v>
                </c:pt>
                <c:pt idx="4">
                  <c:v>123</c:v>
                </c:pt>
              </c:numCache>
            </c:numRef>
          </c:val>
          <c:smooth val="0"/>
          <c:extLst>
            <c:ext xmlns:c16="http://schemas.microsoft.com/office/drawing/2014/chart" uri="{C3380CC4-5D6E-409C-BE32-E72D297353CC}">
              <c16:uniqueId val="{00000006-847C-6E45-9DCE-E85C4517EE8D}"/>
            </c:ext>
          </c:extLst>
        </c:ser>
        <c:dLbls>
          <c:showLegendKey val="0"/>
          <c:showVal val="0"/>
          <c:showCatName val="0"/>
          <c:showSerName val="0"/>
          <c:showPercent val="0"/>
          <c:showBubbleSize val="0"/>
        </c:dLbls>
        <c:marker val="1"/>
        <c:smooth val="0"/>
        <c:axId val="90050944"/>
        <c:axId val="90049152"/>
      </c:lineChart>
      <c:catAx>
        <c:axId val="897017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es-CO"/>
          </a:p>
        </c:txPr>
        <c:crossAx val="90047616"/>
        <c:crosses val="autoZero"/>
        <c:auto val="1"/>
        <c:lblAlgn val="ctr"/>
        <c:lblOffset val="100"/>
        <c:noMultiLvlLbl val="0"/>
      </c:catAx>
      <c:valAx>
        <c:axId val="900476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vert="horz"/>
          <a:lstStyle/>
          <a:p>
            <a:pPr>
              <a:defRPr/>
            </a:pPr>
            <a:endParaRPr lang="es-CO"/>
          </a:p>
        </c:txPr>
        <c:crossAx val="89701760"/>
        <c:crosses val="autoZero"/>
        <c:crossBetween val="between"/>
      </c:valAx>
      <c:valAx>
        <c:axId val="90049152"/>
        <c:scaling>
          <c:orientation val="minMax"/>
        </c:scaling>
        <c:delete val="0"/>
        <c:axPos val="r"/>
        <c:numFmt formatCode="General" sourceLinked="1"/>
        <c:majorTickMark val="out"/>
        <c:minorTickMark val="none"/>
        <c:tickLblPos val="nextTo"/>
        <c:spPr>
          <a:noFill/>
          <a:ln>
            <a:noFill/>
          </a:ln>
          <a:effectLst/>
        </c:spPr>
        <c:txPr>
          <a:bodyPr rot="-60000000" vert="horz"/>
          <a:lstStyle/>
          <a:p>
            <a:pPr>
              <a:defRPr/>
            </a:pPr>
            <a:endParaRPr lang="es-CO"/>
          </a:p>
        </c:txPr>
        <c:crossAx val="90050944"/>
        <c:crosses val="max"/>
        <c:crossBetween val="between"/>
      </c:valAx>
      <c:catAx>
        <c:axId val="90050944"/>
        <c:scaling>
          <c:orientation val="minMax"/>
        </c:scaling>
        <c:delete val="1"/>
        <c:axPos val="b"/>
        <c:majorTickMark val="out"/>
        <c:minorTickMark val="none"/>
        <c:tickLblPos val="nextTo"/>
        <c:crossAx val="90049152"/>
        <c:crosses val="autoZero"/>
        <c:auto val="1"/>
        <c:lblAlgn val="ctr"/>
        <c:lblOffset val="100"/>
        <c:noMultiLvlLbl val="0"/>
      </c:cat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latin typeface="Times New Roman" panose="02020603050405020304" pitchFamily="18" charset="0"/>
          <a:cs typeface="Times New Roman" panose="02020603050405020304" pitchFamily="18" charset="0"/>
        </a:defRPr>
      </a:pPr>
      <a:endParaRPr lang="es-CO"/>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EA0E2-0B49-40AD-9B8C-96087E1A4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13</Pages>
  <Words>10180</Words>
  <Characters>55991</Characters>
  <Application>Microsoft Office Word</Application>
  <DocSecurity>0</DocSecurity>
  <Lines>466</Lines>
  <Paragraphs>132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NATHALIA ANDREA SUAREZ SUAREZ</dc:creator>
  <cp:lastModifiedBy>Sergio Rey</cp:lastModifiedBy>
  <cp:revision>10</cp:revision>
  <dcterms:created xsi:type="dcterms:W3CDTF">2026-07-16T03:34:00Z</dcterms:created>
  <dcterms:modified xsi:type="dcterms:W3CDTF">2026-08-17T23:48:00Z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2026-04-12T00:00:00Z</vt:filetime>
  </property>
  <property fmtid="{D5CDD505-2E9C-101B-9397-08002B2CF9AE}" pid="4" name="Creator">
    <vt:lpwstr>Microsoft® Word para Microsoft 365</vt:lpwstr>
  </property>
  <property fmtid="{D5CDD505-2E9C-101B-9397-08002B2CF9AE}" pid="5" name="LastSaved">
    <vt:filetime>2026-07-13T00:00:00Z</vt:filetime>
  </property>
  <property fmtid="{D5CDD505-2E9C-101B-9397-08002B2CF9AE}" pid="6" name="Producer">
    <vt:lpwstr>Microsoft® Word para Microsoft 365</vt:lpwstr>
  </property>
</Properties>
</file>